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39A" w:rsidRPr="00B46839" w:rsidRDefault="007B439A" w:rsidP="0083626E">
      <w:pPr>
        <w:spacing w:after="0" w:line="360" w:lineRule="auto"/>
        <w:jc w:val="both"/>
        <w:rPr>
          <w:rFonts w:ascii="Calibri" w:hAnsi="Calibri"/>
          <w:sz w:val="18"/>
        </w:rPr>
      </w:pPr>
    </w:p>
    <w:p w:rsidR="001809E4" w:rsidRPr="00B46839" w:rsidRDefault="00CC3FC7" w:rsidP="0083626E">
      <w:pPr>
        <w:spacing w:after="0" w:line="360" w:lineRule="auto"/>
        <w:jc w:val="center"/>
        <w:rPr>
          <w:rFonts w:ascii="Calibri" w:hAnsi="Calibri"/>
          <w:b/>
          <w:u w:val="single"/>
        </w:rPr>
      </w:pPr>
      <w:r w:rsidRPr="00B46839">
        <w:rPr>
          <w:rFonts w:ascii="Calibri" w:hAnsi="Calibri"/>
          <w:b/>
          <w:u w:val="single"/>
        </w:rPr>
        <w:t>Processing Fee for Equal Monthly Installment</w:t>
      </w:r>
    </w:p>
    <w:p w:rsidR="0083626E" w:rsidRPr="00B46839" w:rsidRDefault="0083626E" w:rsidP="0083626E">
      <w:pPr>
        <w:spacing w:after="0" w:line="360" w:lineRule="auto"/>
        <w:jc w:val="both"/>
        <w:rPr>
          <w:rFonts w:ascii="Calibri" w:hAnsi="Calibri"/>
          <w:b/>
          <w:sz w:val="18"/>
          <w:u w:val="single"/>
        </w:rPr>
      </w:pPr>
    </w:p>
    <w:p w:rsidR="00CC3FC7" w:rsidRPr="00B46839" w:rsidRDefault="00CC3FC7" w:rsidP="0083626E">
      <w:pPr>
        <w:spacing w:after="0" w:line="360" w:lineRule="auto"/>
        <w:jc w:val="both"/>
        <w:rPr>
          <w:rFonts w:ascii="Calibri" w:hAnsi="Calibri"/>
          <w:b/>
          <w:u w:val="single"/>
        </w:rPr>
      </w:pPr>
      <w:r w:rsidRPr="00B46839">
        <w:rPr>
          <w:rFonts w:ascii="Calibri" w:hAnsi="Calibri"/>
          <w:b/>
          <w:u w:val="single"/>
        </w:rPr>
        <w:t>EMI at SEBL EMI Partner Outlet</w:t>
      </w:r>
    </w:p>
    <w:p w:rsidR="002642D7" w:rsidRPr="00B46839" w:rsidRDefault="002642D7" w:rsidP="0083626E">
      <w:pPr>
        <w:spacing w:after="0" w:line="360" w:lineRule="auto"/>
        <w:jc w:val="both"/>
        <w:rPr>
          <w:rFonts w:ascii="Calibri" w:hAnsi="Calibri"/>
        </w:rPr>
      </w:pPr>
      <w:r w:rsidRPr="00B46839">
        <w:rPr>
          <w:rFonts w:ascii="Calibri" w:hAnsi="Calibri"/>
        </w:rPr>
        <w:t>An SEBL Cardholder can pay for the purchase from an SEBL EMI Partner Outlet in Equal Monthly Installments up to the period displayed at the Outlet during the time of purchase. No additional processing fee is to be charged for this EMI facility.</w:t>
      </w:r>
    </w:p>
    <w:p w:rsidR="0083626E" w:rsidRPr="00B46839" w:rsidRDefault="0083626E" w:rsidP="0083626E">
      <w:pPr>
        <w:spacing w:after="0" w:line="360" w:lineRule="auto"/>
        <w:jc w:val="both"/>
        <w:rPr>
          <w:rFonts w:ascii="Calibri" w:hAnsi="Calibri"/>
          <w:b/>
          <w:u w:val="single"/>
        </w:rPr>
      </w:pPr>
    </w:p>
    <w:p w:rsidR="0083626E" w:rsidRPr="00B46839" w:rsidRDefault="002642D7" w:rsidP="0083626E">
      <w:pPr>
        <w:spacing w:after="0" w:line="360" w:lineRule="auto"/>
        <w:jc w:val="both"/>
        <w:rPr>
          <w:rFonts w:ascii="Calibri" w:hAnsi="Calibri"/>
          <w:b/>
          <w:u w:val="single"/>
        </w:rPr>
      </w:pPr>
      <w:r w:rsidRPr="00B46839">
        <w:rPr>
          <w:rFonts w:ascii="Calibri" w:hAnsi="Calibri"/>
          <w:b/>
          <w:u w:val="single"/>
        </w:rPr>
        <w:t>EMI at Non SEBL EMI Partner Outlets</w:t>
      </w:r>
      <w:r w:rsidR="00505750">
        <w:rPr>
          <w:rFonts w:ascii="Calibri" w:hAnsi="Calibri"/>
          <w:b/>
          <w:u w:val="single"/>
        </w:rPr>
        <w:t xml:space="preserve"> (Any POS EMI)</w:t>
      </w:r>
    </w:p>
    <w:p w:rsidR="00CC3FC7" w:rsidRDefault="00A0545C" w:rsidP="0083626E">
      <w:pPr>
        <w:spacing w:after="0" w:line="360" w:lineRule="auto"/>
        <w:jc w:val="both"/>
        <w:rPr>
          <w:rFonts w:ascii="Calibri" w:hAnsi="Calibri"/>
        </w:rPr>
      </w:pPr>
      <w:r w:rsidRPr="00B46839">
        <w:rPr>
          <w:rFonts w:ascii="Calibri" w:hAnsi="Calibri"/>
        </w:rPr>
        <w:t xml:space="preserve">An SEBL Cardholder can pay for the purchase from a </w:t>
      </w:r>
      <w:r w:rsidR="00FF040B" w:rsidRPr="00B46839">
        <w:rPr>
          <w:rFonts w:ascii="Calibri" w:hAnsi="Calibri"/>
        </w:rPr>
        <w:t xml:space="preserve">Non </w:t>
      </w:r>
      <w:r w:rsidRPr="00B46839">
        <w:rPr>
          <w:rFonts w:ascii="Calibri" w:hAnsi="Calibri"/>
        </w:rPr>
        <w:t xml:space="preserve">SEBL EMI Partner Outlet in Equal Monthly Installments up to </w:t>
      </w:r>
      <w:r w:rsidR="00FF040B" w:rsidRPr="00B46839">
        <w:rPr>
          <w:rFonts w:ascii="Calibri" w:hAnsi="Calibri"/>
        </w:rPr>
        <w:t xml:space="preserve">certain </w:t>
      </w:r>
      <w:r w:rsidRPr="00B46839">
        <w:rPr>
          <w:rFonts w:ascii="Calibri" w:hAnsi="Calibri"/>
        </w:rPr>
        <w:t xml:space="preserve">period </w:t>
      </w:r>
      <w:r w:rsidR="00FF040B" w:rsidRPr="00B46839">
        <w:rPr>
          <w:rFonts w:ascii="Calibri" w:hAnsi="Calibri"/>
        </w:rPr>
        <w:t>with additional processing fee as under:</w:t>
      </w:r>
    </w:p>
    <w:p w:rsidR="00B46839" w:rsidRPr="00B46839" w:rsidRDefault="00B46839" w:rsidP="0083626E">
      <w:pPr>
        <w:spacing w:after="0" w:line="360" w:lineRule="auto"/>
        <w:jc w:val="both"/>
        <w:rPr>
          <w:rFonts w:ascii="Calibri" w:hAnsi="Calibri"/>
          <w:b/>
          <w:sz w:val="18"/>
          <w:u w:val="single"/>
        </w:rPr>
      </w:pPr>
    </w:p>
    <w:tbl>
      <w:tblPr>
        <w:tblW w:w="4680" w:type="dxa"/>
        <w:tblInd w:w="2268" w:type="dxa"/>
        <w:tblLook w:val="04A0" w:firstRow="1" w:lastRow="0" w:firstColumn="1" w:lastColumn="0" w:noHBand="0" w:noVBand="1"/>
      </w:tblPr>
      <w:tblGrid>
        <w:gridCol w:w="2430"/>
        <w:gridCol w:w="2250"/>
      </w:tblGrid>
      <w:tr w:rsidR="001C2F30" w:rsidRPr="00B46839" w:rsidTr="001C2F30">
        <w:trPr>
          <w:trHeight w:val="264"/>
        </w:trPr>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F30" w:rsidRPr="00B46839" w:rsidRDefault="001C2F30" w:rsidP="0083626E">
            <w:pPr>
              <w:spacing w:after="0" w:line="360" w:lineRule="auto"/>
              <w:jc w:val="center"/>
              <w:rPr>
                <w:rFonts w:ascii="Calibri" w:eastAsia="Times New Roman" w:hAnsi="Calibri" w:cs="Arial"/>
                <w:b/>
                <w:bCs/>
                <w:color w:val="000000"/>
              </w:rPr>
            </w:pPr>
            <w:r w:rsidRPr="00B46839">
              <w:rPr>
                <w:rFonts w:ascii="Calibri" w:eastAsia="Times New Roman" w:hAnsi="Calibri" w:cs="Arial"/>
                <w:b/>
                <w:bCs/>
                <w:color w:val="000000"/>
              </w:rPr>
              <w:t>Period</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1C2F30" w:rsidRPr="00B46839" w:rsidRDefault="001C2F30" w:rsidP="0083626E">
            <w:pPr>
              <w:spacing w:after="0" w:line="360" w:lineRule="auto"/>
              <w:jc w:val="center"/>
              <w:rPr>
                <w:rFonts w:ascii="Calibri" w:eastAsia="Times New Roman" w:hAnsi="Calibri" w:cs="Arial"/>
                <w:b/>
                <w:bCs/>
                <w:color w:val="000000"/>
              </w:rPr>
            </w:pPr>
            <w:r w:rsidRPr="00B46839">
              <w:rPr>
                <w:rFonts w:ascii="Calibri" w:eastAsia="Times New Roman" w:hAnsi="Calibri" w:cs="Arial"/>
                <w:b/>
                <w:bCs/>
                <w:color w:val="000000"/>
              </w:rPr>
              <w:t>Processing Fee</w:t>
            </w:r>
          </w:p>
        </w:tc>
      </w:tr>
      <w:tr w:rsidR="001C2F30" w:rsidRPr="00B46839" w:rsidTr="001C2F30">
        <w:trPr>
          <w:trHeight w:val="264"/>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rsidR="001C2F30" w:rsidRPr="00B46839" w:rsidRDefault="001C2F30" w:rsidP="0083626E">
            <w:pPr>
              <w:spacing w:after="0" w:line="360" w:lineRule="auto"/>
              <w:jc w:val="center"/>
              <w:rPr>
                <w:rFonts w:ascii="Calibri" w:eastAsia="Times New Roman" w:hAnsi="Calibri" w:cs="Arial"/>
                <w:color w:val="000000"/>
              </w:rPr>
            </w:pPr>
            <w:r w:rsidRPr="00B46839">
              <w:rPr>
                <w:rFonts w:ascii="Calibri" w:eastAsia="Times New Roman" w:hAnsi="Calibri" w:cs="Arial"/>
                <w:color w:val="000000"/>
              </w:rPr>
              <w:t>3 Months</w:t>
            </w:r>
          </w:p>
        </w:tc>
        <w:tc>
          <w:tcPr>
            <w:tcW w:w="2250" w:type="dxa"/>
            <w:tcBorders>
              <w:top w:val="nil"/>
              <w:left w:val="nil"/>
              <w:bottom w:val="single" w:sz="4" w:space="0" w:color="auto"/>
              <w:right w:val="single" w:sz="4" w:space="0" w:color="auto"/>
            </w:tcBorders>
            <w:shd w:val="clear" w:color="auto" w:fill="auto"/>
            <w:noWrap/>
            <w:vAlign w:val="center"/>
            <w:hideMark/>
          </w:tcPr>
          <w:p w:rsidR="001C2F30" w:rsidRPr="00B46839" w:rsidRDefault="00E53D5B" w:rsidP="0083626E">
            <w:pPr>
              <w:spacing w:after="0" w:line="360" w:lineRule="auto"/>
              <w:jc w:val="center"/>
              <w:rPr>
                <w:rFonts w:ascii="Calibri" w:eastAsia="Times New Roman" w:hAnsi="Calibri" w:cs="Arial"/>
                <w:color w:val="000000"/>
              </w:rPr>
            </w:pPr>
            <w:r>
              <w:rPr>
                <w:rFonts w:ascii="Calibri" w:eastAsia="Times New Roman" w:hAnsi="Calibri" w:cs="Arial"/>
                <w:color w:val="000000"/>
              </w:rPr>
              <w:t>2.5</w:t>
            </w:r>
            <w:r w:rsidR="001C2F30" w:rsidRPr="00B46839">
              <w:rPr>
                <w:rFonts w:ascii="Calibri" w:eastAsia="Times New Roman" w:hAnsi="Calibri" w:cs="Arial"/>
                <w:color w:val="000000"/>
              </w:rPr>
              <w:t>0%</w:t>
            </w:r>
          </w:p>
        </w:tc>
      </w:tr>
      <w:tr w:rsidR="001C2F30" w:rsidRPr="00B46839" w:rsidTr="001C2F30">
        <w:trPr>
          <w:trHeight w:val="264"/>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rsidR="001C2F30" w:rsidRPr="00B46839" w:rsidRDefault="001C2F30" w:rsidP="0083626E">
            <w:pPr>
              <w:spacing w:after="0" w:line="360" w:lineRule="auto"/>
              <w:jc w:val="center"/>
              <w:rPr>
                <w:rFonts w:ascii="Calibri" w:eastAsia="Times New Roman" w:hAnsi="Calibri" w:cs="Arial"/>
                <w:color w:val="000000"/>
              </w:rPr>
            </w:pPr>
            <w:r w:rsidRPr="00B46839">
              <w:rPr>
                <w:rFonts w:ascii="Calibri" w:eastAsia="Times New Roman" w:hAnsi="Calibri" w:cs="Arial"/>
                <w:color w:val="000000"/>
              </w:rPr>
              <w:t>6 Months</w:t>
            </w:r>
          </w:p>
        </w:tc>
        <w:tc>
          <w:tcPr>
            <w:tcW w:w="2250" w:type="dxa"/>
            <w:tcBorders>
              <w:top w:val="nil"/>
              <w:left w:val="nil"/>
              <w:bottom w:val="single" w:sz="4" w:space="0" w:color="auto"/>
              <w:right w:val="single" w:sz="4" w:space="0" w:color="auto"/>
            </w:tcBorders>
            <w:shd w:val="clear" w:color="auto" w:fill="auto"/>
            <w:noWrap/>
            <w:vAlign w:val="center"/>
            <w:hideMark/>
          </w:tcPr>
          <w:p w:rsidR="001C2F30" w:rsidRPr="00B46839" w:rsidRDefault="00E53D5B" w:rsidP="0083626E">
            <w:pPr>
              <w:spacing w:after="0" w:line="360" w:lineRule="auto"/>
              <w:jc w:val="center"/>
              <w:rPr>
                <w:rFonts w:ascii="Calibri" w:eastAsia="Times New Roman" w:hAnsi="Calibri" w:cs="Arial"/>
                <w:color w:val="000000"/>
              </w:rPr>
            </w:pPr>
            <w:r>
              <w:rPr>
                <w:rFonts w:ascii="Calibri" w:eastAsia="Times New Roman" w:hAnsi="Calibri" w:cs="Arial"/>
                <w:color w:val="000000"/>
              </w:rPr>
              <w:t>5</w:t>
            </w:r>
            <w:r w:rsidR="001C2F30" w:rsidRPr="00B46839">
              <w:rPr>
                <w:rFonts w:ascii="Calibri" w:eastAsia="Times New Roman" w:hAnsi="Calibri" w:cs="Arial"/>
                <w:color w:val="000000"/>
              </w:rPr>
              <w:t>.00%</w:t>
            </w:r>
          </w:p>
        </w:tc>
      </w:tr>
      <w:tr w:rsidR="001C2F30" w:rsidRPr="00B46839" w:rsidTr="001C2F30">
        <w:trPr>
          <w:trHeight w:val="264"/>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rsidR="001C2F30" w:rsidRPr="00B46839" w:rsidRDefault="001C2F30" w:rsidP="0083626E">
            <w:pPr>
              <w:spacing w:after="0" w:line="360" w:lineRule="auto"/>
              <w:jc w:val="center"/>
              <w:rPr>
                <w:rFonts w:ascii="Calibri" w:eastAsia="Times New Roman" w:hAnsi="Calibri" w:cs="Arial"/>
                <w:color w:val="000000"/>
              </w:rPr>
            </w:pPr>
            <w:r w:rsidRPr="00B46839">
              <w:rPr>
                <w:rFonts w:ascii="Calibri" w:eastAsia="Times New Roman" w:hAnsi="Calibri" w:cs="Arial"/>
                <w:color w:val="000000"/>
              </w:rPr>
              <w:t>9 Months</w:t>
            </w:r>
          </w:p>
        </w:tc>
        <w:tc>
          <w:tcPr>
            <w:tcW w:w="2250" w:type="dxa"/>
            <w:tcBorders>
              <w:top w:val="nil"/>
              <w:left w:val="nil"/>
              <w:bottom w:val="single" w:sz="4" w:space="0" w:color="auto"/>
              <w:right w:val="single" w:sz="4" w:space="0" w:color="auto"/>
            </w:tcBorders>
            <w:shd w:val="clear" w:color="auto" w:fill="auto"/>
            <w:noWrap/>
            <w:vAlign w:val="center"/>
            <w:hideMark/>
          </w:tcPr>
          <w:p w:rsidR="001C2F30" w:rsidRPr="00B46839" w:rsidRDefault="00E53D5B" w:rsidP="0083626E">
            <w:pPr>
              <w:spacing w:after="0" w:line="360" w:lineRule="auto"/>
              <w:jc w:val="center"/>
              <w:rPr>
                <w:rFonts w:ascii="Calibri" w:eastAsia="Times New Roman" w:hAnsi="Calibri" w:cs="Arial"/>
                <w:color w:val="000000"/>
              </w:rPr>
            </w:pPr>
            <w:r>
              <w:rPr>
                <w:rFonts w:ascii="Calibri" w:eastAsia="Times New Roman" w:hAnsi="Calibri" w:cs="Arial"/>
                <w:color w:val="000000"/>
              </w:rPr>
              <w:t>7.5</w:t>
            </w:r>
            <w:r w:rsidR="001C2F30" w:rsidRPr="00B46839">
              <w:rPr>
                <w:rFonts w:ascii="Calibri" w:eastAsia="Times New Roman" w:hAnsi="Calibri" w:cs="Arial"/>
                <w:color w:val="000000"/>
              </w:rPr>
              <w:t>0%</w:t>
            </w:r>
          </w:p>
        </w:tc>
      </w:tr>
      <w:tr w:rsidR="001C2F30" w:rsidRPr="00B46839" w:rsidTr="001C2F30">
        <w:trPr>
          <w:trHeight w:val="264"/>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rsidR="001C2F30" w:rsidRPr="00B46839" w:rsidRDefault="001C2F30" w:rsidP="0083626E">
            <w:pPr>
              <w:spacing w:after="0" w:line="360" w:lineRule="auto"/>
              <w:jc w:val="center"/>
              <w:rPr>
                <w:rFonts w:ascii="Calibri" w:eastAsia="Times New Roman" w:hAnsi="Calibri" w:cs="Arial"/>
                <w:color w:val="000000"/>
              </w:rPr>
            </w:pPr>
            <w:r w:rsidRPr="00B46839">
              <w:rPr>
                <w:rFonts w:ascii="Calibri" w:eastAsia="Times New Roman" w:hAnsi="Calibri" w:cs="Arial"/>
                <w:color w:val="000000"/>
              </w:rPr>
              <w:t>12 Months</w:t>
            </w:r>
          </w:p>
        </w:tc>
        <w:tc>
          <w:tcPr>
            <w:tcW w:w="2250" w:type="dxa"/>
            <w:tcBorders>
              <w:top w:val="nil"/>
              <w:left w:val="nil"/>
              <w:bottom w:val="single" w:sz="4" w:space="0" w:color="auto"/>
              <w:right w:val="single" w:sz="4" w:space="0" w:color="auto"/>
            </w:tcBorders>
            <w:shd w:val="clear" w:color="auto" w:fill="auto"/>
            <w:noWrap/>
            <w:vAlign w:val="center"/>
            <w:hideMark/>
          </w:tcPr>
          <w:p w:rsidR="001C2F30" w:rsidRPr="00B46839" w:rsidRDefault="00E53D5B" w:rsidP="0083626E">
            <w:pPr>
              <w:spacing w:after="0" w:line="360" w:lineRule="auto"/>
              <w:jc w:val="center"/>
              <w:rPr>
                <w:rFonts w:ascii="Calibri" w:eastAsia="Times New Roman" w:hAnsi="Calibri" w:cs="Arial"/>
                <w:color w:val="000000"/>
              </w:rPr>
            </w:pPr>
            <w:r>
              <w:rPr>
                <w:rFonts w:ascii="Calibri" w:eastAsia="Times New Roman" w:hAnsi="Calibri" w:cs="Arial"/>
                <w:color w:val="000000"/>
              </w:rPr>
              <w:t>10</w:t>
            </w:r>
            <w:r w:rsidR="001C2F30" w:rsidRPr="00B46839">
              <w:rPr>
                <w:rFonts w:ascii="Calibri" w:eastAsia="Times New Roman" w:hAnsi="Calibri" w:cs="Arial"/>
                <w:color w:val="000000"/>
              </w:rPr>
              <w:t>.00%</w:t>
            </w:r>
          </w:p>
        </w:tc>
      </w:tr>
      <w:tr w:rsidR="001C2F30" w:rsidRPr="00B46839" w:rsidTr="001C2F30">
        <w:trPr>
          <w:trHeight w:val="264"/>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rsidR="001C2F30" w:rsidRPr="00B46839" w:rsidRDefault="001C2F30" w:rsidP="0083626E">
            <w:pPr>
              <w:spacing w:after="0" w:line="360" w:lineRule="auto"/>
              <w:jc w:val="center"/>
              <w:rPr>
                <w:rFonts w:ascii="Calibri" w:eastAsia="Times New Roman" w:hAnsi="Calibri" w:cs="Arial"/>
                <w:color w:val="000000"/>
              </w:rPr>
            </w:pPr>
            <w:r w:rsidRPr="00B46839">
              <w:rPr>
                <w:rFonts w:ascii="Calibri" w:eastAsia="Times New Roman" w:hAnsi="Calibri" w:cs="Arial"/>
                <w:color w:val="000000"/>
              </w:rPr>
              <w:t>18 Months</w:t>
            </w:r>
          </w:p>
        </w:tc>
        <w:tc>
          <w:tcPr>
            <w:tcW w:w="2250" w:type="dxa"/>
            <w:tcBorders>
              <w:top w:val="nil"/>
              <w:left w:val="nil"/>
              <w:bottom w:val="single" w:sz="4" w:space="0" w:color="auto"/>
              <w:right w:val="single" w:sz="4" w:space="0" w:color="auto"/>
            </w:tcBorders>
            <w:shd w:val="clear" w:color="auto" w:fill="auto"/>
            <w:noWrap/>
            <w:vAlign w:val="center"/>
            <w:hideMark/>
          </w:tcPr>
          <w:p w:rsidR="001C2F30" w:rsidRPr="00B46839" w:rsidRDefault="00E53D5B" w:rsidP="0083626E">
            <w:pPr>
              <w:spacing w:after="0" w:line="360" w:lineRule="auto"/>
              <w:jc w:val="center"/>
              <w:rPr>
                <w:rFonts w:ascii="Calibri" w:eastAsia="Times New Roman" w:hAnsi="Calibri" w:cs="Arial"/>
                <w:color w:val="000000"/>
              </w:rPr>
            </w:pPr>
            <w:r>
              <w:rPr>
                <w:rFonts w:ascii="Calibri" w:eastAsia="Times New Roman" w:hAnsi="Calibri" w:cs="Arial"/>
                <w:color w:val="000000"/>
              </w:rPr>
              <w:t>15</w:t>
            </w:r>
            <w:r w:rsidR="001C2F30" w:rsidRPr="00B46839">
              <w:rPr>
                <w:rFonts w:ascii="Calibri" w:eastAsia="Times New Roman" w:hAnsi="Calibri" w:cs="Arial"/>
                <w:color w:val="000000"/>
              </w:rPr>
              <w:t>.00%</w:t>
            </w:r>
          </w:p>
        </w:tc>
      </w:tr>
      <w:tr w:rsidR="001C2F30" w:rsidRPr="00B46839" w:rsidTr="001C2F30">
        <w:trPr>
          <w:trHeight w:val="264"/>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rsidR="001C2F30" w:rsidRPr="00B46839" w:rsidRDefault="001C2F30" w:rsidP="0083626E">
            <w:pPr>
              <w:spacing w:after="0" w:line="360" w:lineRule="auto"/>
              <w:jc w:val="center"/>
              <w:rPr>
                <w:rFonts w:ascii="Calibri" w:eastAsia="Times New Roman" w:hAnsi="Calibri" w:cs="Arial"/>
                <w:color w:val="000000"/>
              </w:rPr>
            </w:pPr>
            <w:r w:rsidRPr="00B46839">
              <w:rPr>
                <w:rFonts w:ascii="Calibri" w:eastAsia="Times New Roman" w:hAnsi="Calibri" w:cs="Arial"/>
                <w:color w:val="000000"/>
              </w:rPr>
              <w:t>24 Months</w:t>
            </w:r>
          </w:p>
        </w:tc>
        <w:tc>
          <w:tcPr>
            <w:tcW w:w="2250" w:type="dxa"/>
            <w:tcBorders>
              <w:top w:val="nil"/>
              <w:left w:val="nil"/>
              <w:bottom w:val="single" w:sz="4" w:space="0" w:color="auto"/>
              <w:right w:val="single" w:sz="4" w:space="0" w:color="auto"/>
            </w:tcBorders>
            <w:shd w:val="clear" w:color="auto" w:fill="auto"/>
            <w:noWrap/>
            <w:vAlign w:val="center"/>
            <w:hideMark/>
          </w:tcPr>
          <w:p w:rsidR="001C2F30" w:rsidRPr="00B46839" w:rsidRDefault="00E53D5B" w:rsidP="0083626E">
            <w:pPr>
              <w:spacing w:after="0" w:line="360" w:lineRule="auto"/>
              <w:jc w:val="center"/>
              <w:rPr>
                <w:rFonts w:ascii="Calibri" w:eastAsia="Times New Roman" w:hAnsi="Calibri" w:cs="Arial"/>
                <w:color w:val="000000"/>
              </w:rPr>
            </w:pPr>
            <w:r>
              <w:rPr>
                <w:rFonts w:ascii="Calibri" w:eastAsia="Times New Roman" w:hAnsi="Calibri" w:cs="Arial"/>
                <w:color w:val="000000"/>
              </w:rPr>
              <w:t>20</w:t>
            </w:r>
            <w:r w:rsidR="001C2F30" w:rsidRPr="00B46839">
              <w:rPr>
                <w:rFonts w:ascii="Calibri" w:eastAsia="Times New Roman" w:hAnsi="Calibri" w:cs="Arial"/>
                <w:color w:val="000000"/>
              </w:rPr>
              <w:t>.00%</w:t>
            </w:r>
          </w:p>
        </w:tc>
      </w:tr>
      <w:tr w:rsidR="001C2F30" w:rsidRPr="00B46839" w:rsidTr="001C2F30">
        <w:trPr>
          <w:trHeight w:val="264"/>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rsidR="001C2F30" w:rsidRPr="00B46839" w:rsidRDefault="001C2F30" w:rsidP="0083626E">
            <w:pPr>
              <w:spacing w:after="0" w:line="360" w:lineRule="auto"/>
              <w:jc w:val="center"/>
              <w:rPr>
                <w:rFonts w:ascii="Calibri" w:eastAsia="Times New Roman" w:hAnsi="Calibri" w:cs="Arial"/>
                <w:color w:val="000000"/>
              </w:rPr>
            </w:pPr>
            <w:r w:rsidRPr="00B46839">
              <w:rPr>
                <w:rFonts w:ascii="Calibri" w:eastAsia="Times New Roman" w:hAnsi="Calibri" w:cs="Arial"/>
                <w:color w:val="000000"/>
              </w:rPr>
              <w:t>30 Months</w:t>
            </w:r>
          </w:p>
        </w:tc>
        <w:tc>
          <w:tcPr>
            <w:tcW w:w="2250" w:type="dxa"/>
            <w:tcBorders>
              <w:top w:val="nil"/>
              <w:left w:val="nil"/>
              <w:bottom w:val="single" w:sz="4" w:space="0" w:color="auto"/>
              <w:right w:val="single" w:sz="4" w:space="0" w:color="auto"/>
            </w:tcBorders>
            <w:shd w:val="clear" w:color="auto" w:fill="auto"/>
            <w:noWrap/>
            <w:vAlign w:val="center"/>
            <w:hideMark/>
          </w:tcPr>
          <w:p w:rsidR="001C2F30" w:rsidRPr="00B46839" w:rsidRDefault="00E53D5B" w:rsidP="0083626E">
            <w:pPr>
              <w:spacing w:after="0" w:line="360" w:lineRule="auto"/>
              <w:jc w:val="center"/>
              <w:rPr>
                <w:rFonts w:ascii="Calibri" w:eastAsia="Times New Roman" w:hAnsi="Calibri" w:cs="Arial"/>
                <w:color w:val="000000"/>
              </w:rPr>
            </w:pPr>
            <w:r>
              <w:rPr>
                <w:rFonts w:ascii="Calibri" w:eastAsia="Times New Roman" w:hAnsi="Calibri" w:cs="Arial"/>
                <w:color w:val="000000"/>
              </w:rPr>
              <w:t>25</w:t>
            </w:r>
            <w:r w:rsidR="001C2F30" w:rsidRPr="00B46839">
              <w:rPr>
                <w:rFonts w:ascii="Calibri" w:eastAsia="Times New Roman" w:hAnsi="Calibri" w:cs="Arial"/>
                <w:color w:val="000000"/>
              </w:rPr>
              <w:t>.00%</w:t>
            </w:r>
          </w:p>
        </w:tc>
      </w:tr>
      <w:tr w:rsidR="001C2F30" w:rsidRPr="00B46839" w:rsidTr="001C2F30">
        <w:trPr>
          <w:trHeight w:val="264"/>
        </w:trPr>
        <w:tc>
          <w:tcPr>
            <w:tcW w:w="2430" w:type="dxa"/>
            <w:tcBorders>
              <w:top w:val="nil"/>
              <w:left w:val="single" w:sz="4" w:space="0" w:color="auto"/>
              <w:bottom w:val="single" w:sz="4" w:space="0" w:color="auto"/>
              <w:right w:val="single" w:sz="4" w:space="0" w:color="auto"/>
            </w:tcBorders>
            <w:shd w:val="clear" w:color="auto" w:fill="auto"/>
            <w:noWrap/>
            <w:vAlign w:val="center"/>
            <w:hideMark/>
          </w:tcPr>
          <w:p w:rsidR="001C2F30" w:rsidRPr="00B46839" w:rsidRDefault="001C2F30" w:rsidP="0083626E">
            <w:pPr>
              <w:spacing w:after="0" w:line="360" w:lineRule="auto"/>
              <w:jc w:val="center"/>
              <w:rPr>
                <w:rFonts w:ascii="Calibri" w:eastAsia="Times New Roman" w:hAnsi="Calibri" w:cs="Arial"/>
                <w:color w:val="000000"/>
              </w:rPr>
            </w:pPr>
            <w:r w:rsidRPr="00B46839">
              <w:rPr>
                <w:rFonts w:ascii="Calibri" w:eastAsia="Times New Roman" w:hAnsi="Calibri" w:cs="Arial"/>
                <w:color w:val="000000"/>
              </w:rPr>
              <w:t>36 Months</w:t>
            </w:r>
          </w:p>
        </w:tc>
        <w:tc>
          <w:tcPr>
            <w:tcW w:w="2250" w:type="dxa"/>
            <w:tcBorders>
              <w:top w:val="nil"/>
              <w:left w:val="nil"/>
              <w:bottom w:val="single" w:sz="4" w:space="0" w:color="auto"/>
              <w:right w:val="single" w:sz="4" w:space="0" w:color="auto"/>
            </w:tcBorders>
            <w:shd w:val="clear" w:color="auto" w:fill="auto"/>
            <w:noWrap/>
            <w:vAlign w:val="center"/>
            <w:hideMark/>
          </w:tcPr>
          <w:p w:rsidR="001C2F30" w:rsidRPr="00B46839" w:rsidRDefault="00E53D5B" w:rsidP="0083626E">
            <w:pPr>
              <w:spacing w:after="0" w:line="360" w:lineRule="auto"/>
              <w:jc w:val="center"/>
              <w:rPr>
                <w:rFonts w:ascii="Calibri" w:eastAsia="Times New Roman" w:hAnsi="Calibri" w:cs="Arial"/>
                <w:color w:val="000000"/>
              </w:rPr>
            </w:pPr>
            <w:r>
              <w:rPr>
                <w:rFonts w:ascii="Calibri" w:eastAsia="Times New Roman" w:hAnsi="Calibri" w:cs="Arial"/>
                <w:color w:val="000000"/>
              </w:rPr>
              <w:t>30</w:t>
            </w:r>
            <w:r w:rsidR="001C2F30" w:rsidRPr="00B46839">
              <w:rPr>
                <w:rFonts w:ascii="Calibri" w:eastAsia="Times New Roman" w:hAnsi="Calibri" w:cs="Arial"/>
                <w:color w:val="000000"/>
              </w:rPr>
              <w:t>.00%</w:t>
            </w:r>
          </w:p>
        </w:tc>
      </w:tr>
    </w:tbl>
    <w:p w:rsidR="0035664D" w:rsidRPr="00B46839" w:rsidRDefault="0035664D" w:rsidP="0083626E">
      <w:pPr>
        <w:spacing w:after="0" w:line="360" w:lineRule="auto"/>
        <w:jc w:val="both"/>
        <w:rPr>
          <w:rFonts w:ascii="Calibri" w:hAnsi="Calibri" w:cs="Calibri"/>
        </w:rPr>
      </w:pPr>
    </w:p>
    <w:p w:rsidR="00373B06" w:rsidRPr="00B46839" w:rsidRDefault="00373B06" w:rsidP="0083626E">
      <w:pPr>
        <w:spacing w:after="0" w:line="360" w:lineRule="auto"/>
        <w:jc w:val="both"/>
        <w:rPr>
          <w:rFonts w:ascii="Calibri" w:hAnsi="Calibri" w:cs="Calibri"/>
          <w:b/>
          <w:u w:val="single"/>
        </w:rPr>
      </w:pPr>
      <w:r w:rsidRPr="00B46839">
        <w:rPr>
          <w:rFonts w:ascii="Calibri" w:hAnsi="Calibri" w:cs="Calibri"/>
          <w:b/>
          <w:u w:val="single"/>
        </w:rPr>
        <w:t>Extended period of EMI for purchase at SEBL EMI Partner Outlet</w:t>
      </w:r>
      <w:r w:rsidR="00505750">
        <w:rPr>
          <w:rFonts w:ascii="Calibri" w:hAnsi="Calibri" w:cs="Calibri"/>
          <w:b/>
          <w:u w:val="single"/>
        </w:rPr>
        <w:t xml:space="preserve"> (Mix EMI)</w:t>
      </w:r>
    </w:p>
    <w:p w:rsidR="006911EB" w:rsidRDefault="00B721FC" w:rsidP="0083626E">
      <w:pPr>
        <w:spacing w:after="0" w:line="360" w:lineRule="auto"/>
        <w:jc w:val="both"/>
        <w:rPr>
          <w:rFonts w:ascii="Calibri" w:hAnsi="Calibri" w:cs="Calibri"/>
        </w:rPr>
      </w:pPr>
      <w:r w:rsidRPr="00B46839">
        <w:rPr>
          <w:rFonts w:ascii="Calibri" w:hAnsi="Calibri" w:cs="Calibri"/>
        </w:rPr>
        <w:t>An SEBL Cardholder can request for an extended EMI period beyond the offer at an SEBL EMI Partner Outlet</w:t>
      </w:r>
      <w:r w:rsidR="006911EB" w:rsidRPr="00B46839">
        <w:rPr>
          <w:rFonts w:ascii="Calibri" w:hAnsi="Calibri" w:cs="Calibri"/>
        </w:rPr>
        <w:t xml:space="preserve"> with additional processing fee as under</w:t>
      </w:r>
      <w:r w:rsidR="0083626E" w:rsidRPr="00B46839">
        <w:rPr>
          <w:rFonts w:ascii="Calibri" w:hAnsi="Calibri" w:cs="Calibri"/>
        </w:rPr>
        <w:t>:</w:t>
      </w:r>
    </w:p>
    <w:p w:rsidR="00B46839" w:rsidRPr="00B46839" w:rsidRDefault="00B46839" w:rsidP="0083626E">
      <w:pPr>
        <w:spacing w:after="0" w:line="360" w:lineRule="auto"/>
        <w:jc w:val="both"/>
        <w:rPr>
          <w:rFonts w:ascii="Calibri" w:hAnsi="Calibri" w:cs="Calibri"/>
          <w:sz w:val="18"/>
        </w:rPr>
      </w:pPr>
    </w:p>
    <w:tbl>
      <w:tblPr>
        <w:tblW w:w="4820" w:type="dxa"/>
        <w:tblInd w:w="2398" w:type="dxa"/>
        <w:tblLook w:val="04A0" w:firstRow="1" w:lastRow="0" w:firstColumn="1" w:lastColumn="0" w:noHBand="0" w:noVBand="1"/>
      </w:tblPr>
      <w:tblGrid>
        <w:gridCol w:w="1185"/>
        <w:gridCol w:w="1655"/>
        <w:gridCol w:w="1980"/>
      </w:tblGrid>
      <w:tr w:rsidR="00B9570A" w:rsidRPr="00B46839" w:rsidTr="0083626E">
        <w:trPr>
          <w:trHeight w:val="420"/>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70A" w:rsidRPr="00B46839" w:rsidRDefault="00F24E8C" w:rsidP="0083626E">
            <w:pPr>
              <w:spacing w:after="0" w:line="360" w:lineRule="auto"/>
              <w:jc w:val="center"/>
              <w:rPr>
                <w:rFonts w:ascii="Calibri" w:eastAsia="Times New Roman" w:hAnsi="Calibri" w:cs="Arial"/>
                <w:b/>
                <w:bCs/>
                <w:color w:val="000000"/>
              </w:rPr>
            </w:pPr>
            <w:r w:rsidRPr="00B46839">
              <w:rPr>
                <w:rFonts w:ascii="Calibri" w:eastAsia="Times New Roman" w:hAnsi="Calibri" w:cs="Arial"/>
                <w:b/>
                <w:bCs/>
                <w:color w:val="000000"/>
              </w:rPr>
              <w:t>Period</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B9570A" w:rsidRPr="00B46839" w:rsidRDefault="00B9570A" w:rsidP="0083626E">
            <w:pPr>
              <w:spacing w:after="0" w:line="360" w:lineRule="auto"/>
              <w:jc w:val="center"/>
              <w:rPr>
                <w:rFonts w:ascii="Calibri" w:eastAsia="Times New Roman" w:hAnsi="Calibri" w:cs="Arial"/>
                <w:b/>
                <w:bCs/>
                <w:color w:val="000000"/>
              </w:rPr>
            </w:pPr>
            <w:r w:rsidRPr="00B46839">
              <w:rPr>
                <w:rFonts w:ascii="Calibri" w:eastAsia="Times New Roman" w:hAnsi="Calibri" w:cs="Arial"/>
                <w:b/>
                <w:bCs/>
                <w:color w:val="000000"/>
              </w:rPr>
              <w:t>Processing Fee</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B9570A" w:rsidRPr="00B46839" w:rsidRDefault="00B9570A" w:rsidP="0083626E">
            <w:pPr>
              <w:spacing w:after="0" w:line="360" w:lineRule="auto"/>
              <w:jc w:val="center"/>
              <w:rPr>
                <w:rFonts w:ascii="Calibri" w:eastAsia="Times New Roman" w:hAnsi="Calibri" w:cs="Arial"/>
                <w:b/>
                <w:bCs/>
                <w:color w:val="000000"/>
              </w:rPr>
            </w:pPr>
            <w:r w:rsidRPr="00B46839">
              <w:rPr>
                <w:rFonts w:ascii="Calibri" w:eastAsia="Times New Roman" w:hAnsi="Calibri" w:cs="Arial"/>
                <w:b/>
                <w:bCs/>
                <w:color w:val="000000"/>
              </w:rPr>
              <w:t>Remarks</w:t>
            </w:r>
          </w:p>
        </w:tc>
      </w:tr>
      <w:tr w:rsidR="00B9570A" w:rsidRPr="00B46839" w:rsidTr="0083626E">
        <w:trPr>
          <w:trHeight w:val="4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B9570A" w:rsidRPr="00B46839" w:rsidRDefault="00B9570A" w:rsidP="0083626E">
            <w:pPr>
              <w:spacing w:after="0" w:line="360" w:lineRule="auto"/>
              <w:jc w:val="center"/>
              <w:rPr>
                <w:rFonts w:ascii="Calibri" w:eastAsia="Times New Roman" w:hAnsi="Calibri" w:cs="Arial"/>
                <w:color w:val="000000"/>
              </w:rPr>
            </w:pPr>
            <w:r w:rsidRPr="00B46839">
              <w:rPr>
                <w:rFonts w:ascii="Calibri" w:eastAsia="Times New Roman" w:hAnsi="Calibri" w:cs="Arial"/>
                <w:color w:val="000000"/>
              </w:rPr>
              <w:t>3 Months</w:t>
            </w:r>
          </w:p>
        </w:tc>
        <w:tc>
          <w:tcPr>
            <w:tcW w:w="1655" w:type="dxa"/>
            <w:tcBorders>
              <w:top w:val="nil"/>
              <w:left w:val="nil"/>
              <w:bottom w:val="single" w:sz="4" w:space="0" w:color="auto"/>
              <w:right w:val="single" w:sz="4" w:space="0" w:color="auto"/>
            </w:tcBorders>
            <w:shd w:val="clear" w:color="auto" w:fill="auto"/>
            <w:noWrap/>
            <w:vAlign w:val="center"/>
            <w:hideMark/>
          </w:tcPr>
          <w:p w:rsidR="00B9570A" w:rsidRPr="00B46839" w:rsidRDefault="00B9570A" w:rsidP="0083626E">
            <w:pPr>
              <w:spacing w:after="0" w:line="360" w:lineRule="auto"/>
              <w:jc w:val="center"/>
              <w:rPr>
                <w:rFonts w:ascii="Calibri" w:eastAsia="Times New Roman" w:hAnsi="Calibri" w:cs="Arial"/>
                <w:color w:val="000000"/>
              </w:rPr>
            </w:pPr>
            <w:r w:rsidRPr="00B46839">
              <w:rPr>
                <w:rFonts w:ascii="Calibri" w:eastAsia="Times New Roman" w:hAnsi="Calibri" w:cs="Arial"/>
                <w:color w:val="000000"/>
              </w:rPr>
              <w:t>0.00%</w:t>
            </w:r>
          </w:p>
        </w:tc>
        <w:tc>
          <w:tcPr>
            <w:tcW w:w="1980" w:type="dxa"/>
            <w:tcBorders>
              <w:top w:val="nil"/>
              <w:left w:val="nil"/>
              <w:bottom w:val="single" w:sz="4" w:space="0" w:color="auto"/>
              <w:right w:val="single" w:sz="4" w:space="0" w:color="auto"/>
            </w:tcBorders>
            <w:shd w:val="clear" w:color="auto" w:fill="auto"/>
            <w:noWrap/>
            <w:vAlign w:val="center"/>
            <w:hideMark/>
          </w:tcPr>
          <w:p w:rsidR="00B9570A" w:rsidRPr="00B46839" w:rsidRDefault="00B9570A" w:rsidP="0083626E">
            <w:pPr>
              <w:spacing w:after="0" w:line="360" w:lineRule="auto"/>
              <w:jc w:val="center"/>
              <w:rPr>
                <w:rFonts w:ascii="Calibri" w:eastAsia="Times New Roman" w:hAnsi="Calibri" w:cs="Arial"/>
                <w:color w:val="000000"/>
              </w:rPr>
            </w:pPr>
            <w:r w:rsidRPr="00B46839">
              <w:rPr>
                <w:rFonts w:ascii="Calibri" w:eastAsia="Times New Roman" w:hAnsi="Calibri" w:cs="Arial"/>
                <w:color w:val="000000"/>
              </w:rPr>
              <w:t>0.00%</w:t>
            </w:r>
          </w:p>
        </w:tc>
      </w:tr>
      <w:tr w:rsidR="00B9570A" w:rsidRPr="00B46839" w:rsidTr="0083626E">
        <w:trPr>
          <w:trHeight w:val="4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B9570A" w:rsidRPr="00B46839" w:rsidRDefault="00B9570A" w:rsidP="0083626E">
            <w:pPr>
              <w:spacing w:after="0" w:line="360" w:lineRule="auto"/>
              <w:jc w:val="center"/>
              <w:rPr>
                <w:rFonts w:ascii="Calibri" w:eastAsia="Times New Roman" w:hAnsi="Calibri" w:cs="Arial"/>
                <w:color w:val="000000"/>
              </w:rPr>
            </w:pPr>
            <w:r w:rsidRPr="00B46839">
              <w:rPr>
                <w:rFonts w:ascii="Calibri" w:eastAsia="Times New Roman" w:hAnsi="Calibri" w:cs="Arial"/>
                <w:color w:val="000000"/>
              </w:rPr>
              <w:t>6 Months</w:t>
            </w:r>
          </w:p>
        </w:tc>
        <w:tc>
          <w:tcPr>
            <w:tcW w:w="1655" w:type="dxa"/>
            <w:tcBorders>
              <w:top w:val="nil"/>
              <w:left w:val="nil"/>
              <w:bottom w:val="single" w:sz="4" w:space="0" w:color="auto"/>
              <w:right w:val="single" w:sz="4" w:space="0" w:color="auto"/>
            </w:tcBorders>
            <w:shd w:val="clear" w:color="auto" w:fill="auto"/>
            <w:noWrap/>
            <w:vAlign w:val="center"/>
            <w:hideMark/>
          </w:tcPr>
          <w:p w:rsidR="00B9570A" w:rsidRPr="00B46839" w:rsidRDefault="009A6D42" w:rsidP="0083626E">
            <w:pPr>
              <w:spacing w:after="0" w:line="360" w:lineRule="auto"/>
              <w:jc w:val="center"/>
              <w:rPr>
                <w:rFonts w:ascii="Calibri" w:eastAsia="Times New Roman" w:hAnsi="Calibri" w:cs="Arial"/>
                <w:color w:val="000000"/>
              </w:rPr>
            </w:pPr>
            <w:r>
              <w:rPr>
                <w:rFonts w:ascii="Calibri" w:eastAsia="Times New Roman" w:hAnsi="Calibri" w:cs="Arial"/>
                <w:color w:val="000000"/>
              </w:rPr>
              <w:t>4</w:t>
            </w:r>
            <w:r w:rsidR="00B9570A" w:rsidRPr="00B46839">
              <w:rPr>
                <w:rFonts w:ascii="Calibri" w:eastAsia="Times New Roman" w:hAnsi="Calibri" w:cs="Arial"/>
                <w:color w:val="000000"/>
              </w:rPr>
              <w:t>.00%</w:t>
            </w:r>
          </w:p>
        </w:tc>
        <w:tc>
          <w:tcPr>
            <w:tcW w:w="1980" w:type="dxa"/>
            <w:tcBorders>
              <w:top w:val="nil"/>
              <w:left w:val="nil"/>
              <w:bottom w:val="single" w:sz="4" w:space="0" w:color="auto"/>
              <w:right w:val="single" w:sz="4" w:space="0" w:color="auto"/>
            </w:tcBorders>
            <w:shd w:val="clear" w:color="auto" w:fill="auto"/>
            <w:noWrap/>
            <w:vAlign w:val="center"/>
            <w:hideMark/>
          </w:tcPr>
          <w:p w:rsidR="00B9570A" w:rsidRPr="00B46839" w:rsidRDefault="00AB010E" w:rsidP="0083626E">
            <w:pPr>
              <w:spacing w:after="0" w:line="360" w:lineRule="auto"/>
              <w:jc w:val="center"/>
              <w:rPr>
                <w:rFonts w:ascii="Calibri" w:eastAsia="Times New Roman" w:hAnsi="Calibri" w:cs="Arial"/>
                <w:color w:val="000000"/>
              </w:rPr>
            </w:pPr>
            <w:r w:rsidRPr="00B46839">
              <w:rPr>
                <w:rFonts w:ascii="Calibri" w:eastAsia="Times New Roman" w:hAnsi="Calibri" w:cs="Arial"/>
                <w:color w:val="000000"/>
              </w:rPr>
              <w:t>If 0% Unavailable</w:t>
            </w:r>
          </w:p>
        </w:tc>
      </w:tr>
      <w:tr w:rsidR="00B9570A" w:rsidRPr="00B46839" w:rsidTr="0083626E">
        <w:trPr>
          <w:trHeight w:val="4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B9570A" w:rsidRPr="00B46839" w:rsidRDefault="00B9570A" w:rsidP="0083626E">
            <w:pPr>
              <w:spacing w:after="0" w:line="360" w:lineRule="auto"/>
              <w:jc w:val="center"/>
              <w:rPr>
                <w:rFonts w:ascii="Calibri" w:eastAsia="Times New Roman" w:hAnsi="Calibri" w:cs="Arial"/>
                <w:color w:val="000000"/>
              </w:rPr>
            </w:pPr>
            <w:r w:rsidRPr="00B46839">
              <w:rPr>
                <w:rFonts w:ascii="Calibri" w:eastAsia="Times New Roman" w:hAnsi="Calibri" w:cs="Arial"/>
                <w:color w:val="000000"/>
              </w:rPr>
              <w:t>9 Months</w:t>
            </w:r>
          </w:p>
        </w:tc>
        <w:tc>
          <w:tcPr>
            <w:tcW w:w="1655" w:type="dxa"/>
            <w:tcBorders>
              <w:top w:val="nil"/>
              <w:left w:val="nil"/>
              <w:bottom w:val="single" w:sz="4" w:space="0" w:color="auto"/>
              <w:right w:val="single" w:sz="4" w:space="0" w:color="auto"/>
            </w:tcBorders>
            <w:shd w:val="clear" w:color="auto" w:fill="auto"/>
            <w:noWrap/>
            <w:vAlign w:val="center"/>
            <w:hideMark/>
          </w:tcPr>
          <w:p w:rsidR="00B9570A" w:rsidRPr="00B46839" w:rsidRDefault="009A6D42" w:rsidP="0083626E">
            <w:pPr>
              <w:spacing w:after="0" w:line="360" w:lineRule="auto"/>
              <w:jc w:val="center"/>
              <w:rPr>
                <w:rFonts w:ascii="Calibri" w:eastAsia="Times New Roman" w:hAnsi="Calibri" w:cs="Arial"/>
                <w:color w:val="000000"/>
              </w:rPr>
            </w:pPr>
            <w:r>
              <w:rPr>
                <w:rFonts w:ascii="Calibri" w:eastAsia="Times New Roman" w:hAnsi="Calibri" w:cs="Arial"/>
                <w:color w:val="000000"/>
              </w:rPr>
              <w:t>6</w:t>
            </w:r>
            <w:r w:rsidR="00B9570A" w:rsidRPr="00B46839">
              <w:rPr>
                <w:rFonts w:ascii="Calibri" w:eastAsia="Times New Roman" w:hAnsi="Calibri" w:cs="Arial"/>
                <w:color w:val="000000"/>
              </w:rPr>
              <w:t>.00%</w:t>
            </w:r>
          </w:p>
        </w:tc>
        <w:tc>
          <w:tcPr>
            <w:tcW w:w="1980" w:type="dxa"/>
            <w:tcBorders>
              <w:top w:val="nil"/>
              <w:left w:val="nil"/>
              <w:bottom w:val="single" w:sz="4" w:space="0" w:color="auto"/>
              <w:right w:val="single" w:sz="4" w:space="0" w:color="auto"/>
            </w:tcBorders>
            <w:shd w:val="clear" w:color="auto" w:fill="auto"/>
            <w:noWrap/>
            <w:vAlign w:val="center"/>
            <w:hideMark/>
          </w:tcPr>
          <w:p w:rsidR="00B9570A" w:rsidRPr="00B46839" w:rsidRDefault="00B9570A" w:rsidP="0083626E">
            <w:pPr>
              <w:spacing w:after="0" w:line="360" w:lineRule="auto"/>
              <w:jc w:val="center"/>
              <w:rPr>
                <w:rFonts w:ascii="Calibri" w:eastAsia="Times New Roman" w:hAnsi="Calibri" w:cs="Arial"/>
                <w:color w:val="000000"/>
              </w:rPr>
            </w:pPr>
            <w:r w:rsidRPr="00B46839">
              <w:rPr>
                <w:rFonts w:ascii="Calibri" w:eastAsia="Times New Roman" w:hAnsi="Calibri" w:cs="Arial"/>
                <w:color w:val="000000"/>
              </w:rPr>
              <w:t>If 0% Unavailable</w:t>
            </w:r>
          </w:p>
        </w:tc>
      </w:tr>
      <w:tr w:rsidR="00B9570A" w:rsidRPr="00B46839" w:rsidTr="0083626E">
        <w:trPr>
          <w:trHeight w:val="4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B9570A" w:rsidRPr="00B46839" w:rsidRDefault="00B9570A" w:rsidP="0083626E">
            <w:pPr>
              <w:spacing w:after="0" w:line="360" w:lineRule="auto"/>
              <w:jc w:val="center"/>
              <w:rPr>
                <w:rFonts w:ascii="Calibri" w:eastAsia="Times New Roman" w:hAnsi="Calibri" w:cs="Arial"/>
                <w:color w:val="000000"/>
              </w:rPr>
            </w:pPr>
            <w:r w:rsidRPr="00B46839">
              <w:rPr>
                <w:rFonts w:ascii="Calibri" w:eastAsia="Times New Roman" w:hAnsi="Calibri" w:cs="Arial"/>
                <w:color w:val="000000"/>
              </w:rPr>
              <w:t>12 Months</w:t>
            </w:r>
          </w:p>
        </w:tc>
        <w:tc>
          <w:tcPr>
            <w:tcW w:w="1655" w:type="dxa"/>
            <w:tcBorders>
              <w:top w:val="nil"/>
              <w:left w:val="nil"/>
              <w:bottom w:val="single" w:sz="4" w:space="0" w:color="auto"/>
              <w:right w:val="single" w:sz="4" w:space="0" w:color="auto"/>
            </w:tcBorders>
            <w:shd w:val="clear" w:color="auto" w:fill="auto"/>
            <w:noWrap/>
            <w:vAlign w:val="center"/>
            <w:hideMark/>
          </w:tcPr>
          <w:p w:rsidR="00B9570A" w:rsidRPr="00B46839" w:rsidRDefault="009A6D42" w:rsidP="0083626E">
            <w:pPr>
              <w:spacing w:after="0" w:line="360" w:lineRule="auto"/>
              <w:jc w:val="center"/>
              <w:rPr>
                <w:rFonts w:ascii="Calibri" w:eastAsia="Times New Roman" w:hAnsi="Calibri" w:cs="Arial"/>
                <w:color w:val="000000"/>
              </w:rPr>
            </w:pPr>
            <w:r>
              <w:rPr>
                <w:rFonts w:ascii="Calibri" w:eastAsia="Times New Roman" w:hAnsi="Calibri" w:cs="Arial"/>
                <w:color w:val="000000"/>
              </w:rPr>
              <w:t>8</w:t>
            </w:r>
            <w:r w:rsidR="00B9570A" w:rsidRPr="00B46839">
              <w:rPr>
                <w:rFonts w:ascii="Calibri" w:eastAsia="Times New Roman" w:hAnsi="Calibri" w:cs="Arial"/>
                <w:color w:val="000000"/>
              </w:rPr>
              <w:t>.00%</w:t>
            </w:r>
          </w:p>
        </w:tc>
        <w:tc>
          <w:tcPr>
            <w:tcW w:w="1980" w:type="dxa"/>
            <w:tcBorders>
              <w:top w:val="nil"/>
              <w:left w:val="nil"/>
              <w:bottom w:val="single" w:sz="4" w:space="0" w:color="auto"/>
              <w:right w:val="single" w:sz="4" w:space="0" w:color="auto"/>
            </w:tcBorders>
            <w:shd w:val="clear" w:color="auto" w:fill="auto"/>
            <w:noWrap/>
            <w:vAlign w:val="center"/>
            <w:hideMark/>
          </w:tcPr>
          <w:p w:rsidR="00B9570A" w:rsidRPr="00B46839" w:rsidRDefault="00B9570A" w:rsidP="0083626E">
            <w:pPr>
              <w:spacing w:after="0" w:line="360" w:lineRule="auto"/>
              <w:jc w:val="center"/>
              <w:rPr>
                <w:rFonts w:ascii="Calibri" w:eastAsia="Times New Roman" w:hAnsi="Calibri" w:cs="Arial"/>
                <w:color w:val="000000"/>
              </w:rPr>
            </w:pPr>
            <w:r w:rsidRPr="00B46839">
              <w:rPr>
                <w:rFonts w:ascii="Calibri" w:eastAsia="Times New Roman" w:hAnsi="Calibri" w:cs="Arial"/>
                <w:color w:val="000000"/>
              </w:rPr>
              <w:t>If 0% Unavailable</w:t>
            </w:r>
          </w:p>
        </w:tc>
      </w:tr>
      <w:tr w:rsidR="00B9570A" w:rsidRPr="00B46839" w:rsidTr="0083626E">
        <w:trPr>
          <w:trHeight w:val="4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B9570A" w:rsidRPr="00B46839" w:rsidRDefault="00B9570A" w:rsidP="0083626E">
            <w:pPr>
              <w:spacing w:after="0" w:line="360" w:lineRule="auto"/>
              <w:jc w:val="center"/>
              <w:rPr>
                <w:rFonts w:ascii="Calibri" w:eastAsia="Times New Roman" w:hAnsi="Calibri" w:cs="Arial"/>
                <w:color w:val="000000"/>
              </w:rPr>
            </w:pPr>
            <w:r w:rsidRPr="00B46839">
              <w:rPr>
                <w:rFonts w:ascii="Calibri" w:eastAsia="Times New Roman" w:hAnsi="Calibri" w:cs="Arial"/>
                <w:color w:val="000000"/>
              </w:rPr>
              <w:t>18 Months</w:t>
            </w:r>
          </w:p>
        </w:tc>
        <w:tc>
          <w:tcPr>
            <w:tcW w:w="1655" w:type="dxa"/>
            <w:tcBorders>
              <w:top w:val="nil"/>
              <w:left w:val="nil"/>
              <w:bottom w:val="single" w:sz="4" w:space="0" w:color="auto"/>
              <w:right w:val="single" w:sz="4" w:space="0" w:color="auto"/>
            </w:tcBorders>
            <w:shd w:val="clear" w:color="auto" w:fill="auto"/>
            <w:noWrap/>
            <w:vAlign w:val="center"/>
            <w:hideMark/>
          </w:tcPr>
          <w:p w:rsidR="00B9570A" w:rsidRPr="00B46839" w:rsidRDefault="009A6D42" w:rsidP="0083626E">
            <w:pPr>
              <w:spacing w:after="0" w:line="360" w:lineRule="auto"/>
              <w:jc w:val="center"/>
              <w:rPr>
                <w:rFonts w:ascii="Calibri" w:eastAsia="Times New Roman" w:hAnsi="Calibri" w:cs="Arial"/>
                <w:color w:val="000000"/>
              </w:rPr>
            </w:pPr>
            <w:r>
              <w:rPr>
                <w:rFonts w:ascii="Calibri" w:eastAsia="Times New Roman" w:hAnsi="Calibri" w:cs="Arial"/>
                <w:color w:val="000000"/>
              </w:rPr>
              <w:t>12</w:t>
            </w:r>
            <w:r w:rsidR="00B9570A" w:rsidRPr="00B46839">
              <w:rPr>
                <w:rFonts w:ascii="Calibri" w:eastAsia="Times New Roman" w:hAnsi="Calibri" w:cs="Arial"/>
                <w:color w:val="000000"/>
              </w:rPr>
              <w:t>.00%</w:t>
            </w:r>
          </w:p>
        </w:tc>
        <w:tc>
          <w:tcPr>
            <w:tcW w:w="1980" w:type="dxa"/>
            <w:tcBorders>
              <w:top w:val="nil"/>
              <w:left w:val="nil"/>
              <w:bottom w:val="single" w:sz="4" w:space="0" w:color="auto"/>
              <w:right w:val="single" w:sz="4" w:space="0" w:color="auto"/>
            </w:tcBorders>
            <w:shd w:val="clear" w:color="auto" w:fill="auto"/>
            <w:noWrap/>
            <w:vAlign w:val="center"/>
            <w:hideMark/>
          </w:tcPr>
          <w:p w:rsidR="00B9570A" w:rsidRPr="00B46839" w:rsidRDefault="00B9570A" w:rsidP="0083626E">
            <w:pPr>
              <w:spacing w:after="0" w:line="360" w:lineRule="auto"/>
              <w:jc w:val="center"/>
              <w:rPr>
                <w:rFonts w:ascii="Calibri" w:eastAsia="Times New Roman" w:hAnsi="Calibri" w:cs="Arial"/>
                <w:color w:val="000000"/>
              </w:rPr>
            </w:pPr>
            <w:r w:rsidRPr="00B46839">
              <w:rPr>
                <w:rFonts w:ascii="Calibri" w:eastAsia="Times New Roman" w:hAnsi="Calibri" w:cs="Arial"/>
                <w:color w:val="000000"/>
              </w:rPr>
              <w:t>If 0% Unavailable</w:t>
            </w:r>
          </w:p>
        </w:tc>
      </w:tr>
      <w:tr w:rsidR="00B9570A" w:rsidRPr="00B46839" w:rsidTr="0083626E">
        <w:trPr>
          <w:trHeight w:val="4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B9570A" w:rsidRPr="00B46839" w:rsidRDefault="00B9570A" w:rsidP="0083626E">
            <w:pPr>
              <w:spacing w:after="0" w:line="360" w:lineRule="auto"/>
              <w:jc w:val="center"/>
              <w:rPr>
                <w:rFonts w:ascii="Calibri" w:eastAsia="Times New Roman" w:hAnsi="Calibri" w:cs="Arial"/>
                <w:color w:val="000000"/>
              </w:rPr>
            </w:pPr>
            <w:r w:rsidRPr="00B46839">
              <w:rPr>
                <w:rFonts w:ascii="Calibri" w:eastAsia="Times New Roman" w:hAnsi="Calibri" w:cs="Arial"/>
                <w:color w:val="000000"/>
              </w:rPr>
              <w:t>24 Months</w:t>
            </w:r>
          </w:p>
        </w:tc>
        <w:tc>
          <w:tcPr>
            <w:tcW w:w="1655" w:type="dxa"/>
            <w:tcBorders>
              <w:top w:val="nil"/>
              <w:left w:val="nil"/>
              <w:bottom w:val="single" w:sz="4" w:space="0" w:color="auto"/>
              <w:right w:val="single" w:sz="4" w:space="0" w:color="auto"/>
            </w:tcBorders>
            <w:shd w:val="clear" w:color="auto" w:fill="auto"/>
            <w:noWrap/>
            <w:vAlign w:val="center"/>
            <w:hideMark/>
          </w:tcPr>
          <w:p w:rsidR="00B9570A" w:rsidRPr="00B46839" w:rsidRDefault="009A6D42" w:rsidP="0083626E">
            <w:pPr>
              <w:spacing w:after="0" w:line="360" w:lineRule="auto"/>
              <w:jc w:val="center"/>
              <w:rPr>
                <w:rFonts w:ascii="Calibri" w:eastAsia="Times New Roman" w:hAnsi="Calibri" w:cs="Arial"/>
                <w:color w:val="000000"/>
              </w:rPr>
            </w:pPr>
            <w:r>
              <w:rPr>
                <w:rFonts w:ascii="Calibri" w:eastAsia="Times New Roman" w:hAnsi="Calibri" w:cs="Arial"/>
                <w:color w:val="000000"/>
              </w:rPr>
              <w:t>16</w:t>
            </w:r>
            <w:r w:rsidR="00B9570A" w:rsidRPr="00B46839">
              <w:rPr>
                <w:rFonts w:ascii="Calibri" w:eastAsia="Times New Roman" w:hAnsi="Calibri" w:cs="Arial"/>
                <w:color w:val="000000"/>
              </w:rPr>
              <w:t>.00%</w:t>
            </w:r>
          </w:p>
        </w:tc>
        <w:tc>
          <w:tcPr>
            <w:tcW w:w="1980" w:type="dxa"/>
            <w:tcBorders>
              <w:top w:val="nil"/>
              <w:left w:val="nil"/>
              <w:bottom w:val="single" w:sz="4" w:space="0" w:color="auto"/>
              <w:right w:val="single" w:sz="4" w:space="0" w:color="auto"/>
            </w:tcBorders>
            <w:shd w:val="clear" w:color="auto" w:fill="auto"/>
            <w:noWrap/>
            <w:vAlign w:val="center"/>
            <w:hideMark/>
          </w:tcPr>
          <w:p w:rsidR="00B9570A" w:rsidRPr="00B46839" w:rsidRDefault="00B9570A" w:rsidP="0083626E">
            <w:pPr>
              <w:spacing w:after="0" w:line="360" w:lineRule="auto"/>
              <w:jc w:val="center"/>
              <w:rPr>
                <w:rFonts w:ascii="Calibri" w:eastAsia="Times New Roman" w:hAnsi="Calibri" w:cs="Arial"/>
                <w:color w:val="000000"/>
              </w:rPr>
            </w:pPr>
            <w:r w:rsidRPr="00B46839">
              <w:rPr>
                <w:rFonts w:ascii="Calibri" w:eastAsia="Times New Roman" w:hAnsi="Calibri" w:cs="Arial"/>
                <w:color w:val="000000"/>
              </w:rPr>
              <w:t>If 0% Unavailable</w:t>
            </w:r>
          </w:p>
        </w:tc>
      </w:tr>
      <w:tr w:rsidR="00B9570A" w:rsidRPr="00B46839" w:rsidTr="0083626E">
        <w:trPr>
          <w:trHeight w:val="4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B9570A" w:rsidRPr="00B46839" w:rsidRDefault="00B9570A" w:rsidP="0083626E">
            <w:pPr>
              <w:spacing w:after="0" w:line="360" w:lineRule="auto"/>
              <w:jc w:val="center"/>
              <w:rPr>
                <w:rFonts w:ascii="Calibri" w:eastAsia="Times New Roman" w:hAnsi="Calibri" w:cs="Arial"/>
                <w:color w:val="000000"/>
              </w:rPr>
            </w:pPr>
            <w:r w:rsidRPr="00B46839">
              <w:rPr>
                <w:rFonts w:ascii="Calibri" w:eastAsia="Times New Roman" w:hAnsi="Calibri" w:cs="Arial"/>
                <w:color w:val="000000"/>
              </w:rPr>
              <w:t>30 Months</w:t>
            </w:r>
          </w:p>
        </w:tc>
        <w:tc>
          <w:tcPr>
            <w:tcW w:w="1655" w:type="dxa"/>
            <w:tcBorders>
              <w:top w:val="nil"/>
              <w:left w:val="nil"/>
              <w:bottom w:val="single" w:sz="4" w:space="0" w:color="auto"/>
              <w:right w:val="single" w:sz="4" w:space="0" w:color="auto"/>
            </w:tcBorders>
            <w:shd w:val="clear" w:color="auto" w:fill="auto"/>
            <w:noWrap/>
            <w:vAlign w:val="center"/>
            <w:hideMark/>
          </w:tcPr>
          <w:p w:rsidR="00B9570A" w:rsidRPr="00B46839" w:rsidRDefault="009A6D42" w:rsidP="0083626E">
            <w:pPr>
              <w:spacing w:after="0" w:line="360" w:lineRule="auto"/>
              <w:jc w:val="center"/>
              <w:rPr>
                <w:rFonts w:ascii="Calibri" w:eastAsia="Times New Roman" w:hAnsi="Calibri" w:cs="Arial"/>
                <w:color w:val="000000"/>
              </w:rPr>
            </w:pPr>
            <w:r>
              <w:rPr>
                <w:rFonts w:ascii="Calibri" w:eastAsia="Times New Roman" w:hAnsi="Calibri" w:cs="Arial"/>
                <w:color w:val="000000"/>
              </w:rPr>
              <w:t>20</w:t>
            </w:r>
            <w:r w:rsidR="00B9570A" w:rsidRPr="00B46839">
              <w:rPr>
                <w:rFonts w:ascii="Calibri" w:eastAsia="Times New Roman" w:hAnsi="Calibri" w:cs="Arial"/>
                <w:color w:val="000000"/>
              </w:rPr>
              <w:t>.00%</w:t>
            </w:r>
          </w:p>
        </w:tc>
        <w:tc>
          <w:tcPr>
            <w:tcW w:w="1980" w:type="dxa"/>
            <w:tcBorders>
              <w:top w:val="nil"/>
              <w:left w:val="nil"/>
              <w:bottom w:val="single" w:sz="4" w:space="0" w:color="auto"/>
              <w:right w:val="single" w:sz="4" w:space="0" w:color="auto"/>
            </w:tcBorders>
            <w:shd w:val="clear" w:color="auto" w:fill="auto"/>
            <w:noWrap/>
            <w:vAlign w:val="center"/>
            <w:hideMark/>
          </w:tcPr>
          <w:p w:rsidR="00B9570A" w:rsidRPr="00B46839" w:rsidRDefault="00B9570A" w:rsidP="0083626E">
            <w:pPr>
              <w:spacing w:after="0" w:line="360" w:lineRule="auto"/>
              <w:jc w:val="center"/>
              <w:rPr>
                <w:rFonts w:ascii="Calibri" w:eastAsia="Times New Roman" w:hAnsi="Calibri" w:cs="Arial"/>
                <w:color w:val="000000"/>
              </w:rPr>
            </w:pPr>
            <w:r w:rsidRPr="00B46839">
              <w:rPr>
                <w:rFonts w:ascii="Calibri" w:eastAsia="Times New Roman" w:hAnsi="Calibri" w:cs="Arial"/>
                <w:color w:val="000000"/>
              </w:rPr>
              <w:t>If 0% Unavailable</w:t>
            </w:r>
          </w:p>
        </w:tc>
      </w:tr>
      <w:tr w:rsidR="00B9570A" w:rsidRPr="00B46839" w:rsidTr="0083626E">
        <w:trPr>
          <w:trHeight w:val="4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B9570A" w:rsidRPr="00B46839" w:rsidRDefault="00B9570A" w:rsidP="0083626E">
            <w:pPr>
              <w:spacing w:after="0" w:line="360" w:lineRule="auto"/>
              <w:jc w:val="center"/>
              <w:rPr>
                <w:rFonts w:ascii="Calibri" w:eastAsia="Times New Roman" w:hAnsi="Calibri" w:cs="Arial"/>
                <w:color w:val="000000"/>
              </w:rPr>
            </w:pPr>
            <w:r w:rsidRPr="00B46839">
              <w:rPr>
                <w:rFonts w:ascii="Calibri" w:eastAsia="Times New Roman" w:hAnsi="Calibri" w:cs="Arial"/>
                <w:color w:val="000000"/>
              </w:rPr>
              <w:t>36 Months</w:t>
            </w:r>
          </w:p>
        </w:tc>
        <w:tc>
          <w:tcPr>
            <w:tcW w:w="1655" w:type="dxa"/>
            <w:tcBorders>
              <w:top w:val="nil"/>
              <w:left w:val="nil"/>
              <w:bottom w:val="single" w:sz="4" w:space="0" w:color="auto"/>
              <w:right w:val="single" w:sz="4" w:space="0" w:color="auto"/>
            </w:tcBorders>
            <w:shd w:val="clear" w:color="auto" w:fill="auto"/>
            <w:noWrap/>
            <w:vAlign w:val="center"/>
            <w:hideMark/>
          </w:tcPr>
          <w:p w:rsidR="00B9570A" w:rsidRPr="00B46839" w:rsidRDefault="009A6D42" w:rsidP="00AB010E">
            <w:pPr>
              <w:spacing w:after="0" w:line="360" w:lineRule="auto"/>
              <w:jc w:val="center"/>
              <w:rPr>
                <w:rFonts w:ascii="Calibri" w:eastAsia="Times New Roman" w:hAnsi="Calibri" w:cs="Arial"/>
                <w:color w:val="000000"/>
              </w:rPr>
            </w:pPr>
            <w:r>
              <w:rPr>
                <w:rFonts w:ascii="Calibri" w:eastAsia="Times New Roman" w:hAnsi="Calibri" w:cs="Arial"/>
                <w:color w:val="000000"/>
              </w:rPr>
              <w:t>24</w:t>
            </w:r>
            <w:r w:rsidR="00B9570A" w:rsidRPr="00B46839">
              <w:rPr>
                <w:rFonts w:ascii="Calibri" w:eastAsia="Times New Roman" w:hAnsi="Calibri" w:cs="Arial"/>
                <w:color w:val="000000"/>
              </w:rPr>
              <w:t>.</w:t>
            </w:r>
            <w:r w:rsidR="00AB010E">
              <w:rPr>
                <w:rFonts w:ascii="Calibri" w:eastAsia="Times New Roman" w:hAnsi="Calibri" w:cs="Arial"/>
                <w:color w:val="000000"/>
              </w:rPr>
              <w:t>0</w:t>
            </w:r>
            <w:r w:rsidR="00B9570A" w:rsidRPr="00B46839">
              <w:rPr>
                <w:rFonts w:ascii="Calibri" w:eastAsia="Times New Roman" w:hAnsi="Calibri" w:cs="Arial"/>
                <w:color w:val="000000"/>
              </w:rPr>
              <w:t>0%</w:t>
            </w:r>
          </w:p>
        </w:tc>
        <w:tc>
          <w:tcPr>
            <w:tcW w:w="1980" w:type="dxa"/>
            <w:tcBorders>
              <w:top w:val="nil"/>
              <w:left w:val="nil"/>
              <w:bottom w:val="single" w:sz="4" w:space="0" w:color="auto"/>
              <w:right w:val="single" w:sz="4" w:space="0" w:color="auto"/>
            </w:tcBorders>
            <w:shd w:val="clear" w:color="auto" w:fill="auto"/>
            <w:noWrap/>
            <w:vAlign w:val="center"/>
            <w:hideMark/>
          </w:tcPr>
          <w:p w:rsidR="00B9570A" w:rsidRPr="00B46839" w:rsidRDefault="00B9570A" w:rsidP="0083626E">
            <w:pPr>
              <w:spacing w:after="0" w:line="360" w:lineRule="auto"/>
              <w:jc w:val="center"/>
              <w:rPr>
                <w:rFonts w:ascii="Calibri" w:eastAsia="Times New Roman" w:hAnsi="Calibri" w:cs="Arial"/>
                <w:color w:val="000000"/>
              </w:rPr>
            </w:pPr>
            <w:r w:rsidRPr="00B46839">
              <w:rPr>
                <w:rFonts w:ascii="Calibri" w:eastAsia="Times New Roman" w:hAnsi="Calibri" w:cs="Arial"/>
                <w:color w:val="000000"/>
              </w:rPr>
              <w:t>If 0% Unavailable</w:t>
            </w:r>
          </w:p>
        </w:tc>
      </w:tr>
    </w:tbl>
    <w:p w:rsidR="00B721FC" w:rsidRPr="00B46839" w:rsidRDefault="00B721FC" w:rsidP="0083626E">
      <w:pPr>
        <w:spacing w:after="0" w:line="360" w:lineRule="auto"/>
        <w:jc w:val="both"/>
        <w:rPr>
          <w:rFonts w:ascii="Calibri" w:hAnsi="Calibri" w:cs="Calibri"/>
        </w:rPr>
      </w:pPr>
      <w:r w:rsidRPr="00B46839">
        <w:rPr>
          <w:rFonts w:ascii="Calibri" w:hAnsi="Calibri" w:cs="Calibri"/>
        </w:rPr>
        <w:lastRenderedPageBreak/>
        <w:t xml:space="preserve">   </w:t>
      </w:r>
    </w:p>
    <w:p w:rsidR="00373B06" w:rsidRPr="00B46839" w:rsidRDefault="00373B06" w:rsidP="0083626E">
      <w:pPr>
        <w:spacing w:after="0" w:line="360" w:lineRule="auto"/>
        <w:jc w:val="both"/>
        <w:rPr>
          <w:rFonts w:ascii="Calibri" w:hAnsi="Calibri" w:cs="Calibri"/>
        </w:rPr>
      </w:pPr>
    </w:p>
    <w:p w:rsidR="00B46839" w:rsidRPr="00B46839" w:rsidRDefault="00B46839" w:rsidP="00B46839">
      <w:pPr>
        <w:spacing w:after="0" w:line="360" w:lineRule="auto"/>
        <w:jc w:val="both"/>
        <w:rPr>
          <w:rFonts w:ascii="Calibri" w:hAnsi="Calibri"/>
          <w:b/>
          <w:u w:val="single"/>
        </w:rPr>
      </w:pPr>
      <w:r w:rsidRPr="00B46839">
        <w:rPr>
          <w:rFonts w:ascii="Calibri" w:hAnsi="Calibri"/>
          <w:b/>
          <w:u w:val="single"/>
        </w:rPr>
        <w:t xml:space="preserve">Card </w:t>
      </w:r>
      <w:proofErr w:type="spellStart"/>
      <w:r w:rsidRPr="00B46839">
        <w:rPr>
          <w:rFonts w:ascii="Calibri" w:hAnsi="Calibri"/>
          <w:b/>
          <w:u w:val="single"/>
        </w:rPr>
        <w:t>Cheque</w:t>
      </w:r>
      <w:proofErr w:type="spellEnd"/>
      <w:r w:rsidRPr="00B46839">
        <w:rPr>
          <w:rFonts w:ascii="Calibri" w:hAnsi="Calibri"/>
          <w:b/>
          <w:u w:val="single"/>
        </w:rPr>
        <w:t xml:space="preserve"> EMI</w:t>
      </w:r>
    </w:p>
    <w:p w:rsidR="00B46839" w:rsidRDefault="00B46839" w:rsidP="00B46839">
      <w:pPr>
        <w:spacing w:after="0" w:line="360" w:lineRule="auto"/>
        <w:jc w:val="both"/>
        <w:rPr>
          <w:rFonts w:ascii="Calibri" w:hAnsi="Calibri"/>
        </w:rPr>
      </w:pPr>
      <w:r w:rsidRPr="00B46839">
        <w:rPr>
          <w:rFonts w:ascii="Calibri" w:hAnsi="Calibri"/>
        </w:rPr>
        <w:t xml:space="preserve">An SEBL Cardholder can pay for the Card </w:t>
      </w:r>
      <w:proofErr w:type="spellStart"/>
      <w:r w:rsidRPr="00B46839">
        <w:rPr>
          <w:rFonts w:ascii="Calibri" w:hAnsi="Calibri"/>
        </w:rPr>
        <w:t>Cheque</w:t>
      </w:r>
      <w:proofErr w:type="spellEnd"/>
      <w:r w:rsidRPr="00B46839">
        <w:rPr>
          <w:rFonts w:ascii="Calibri" w:hAnsi="Calibri"/>
        </w:rPr>
        <w:t xml:space="preserve"> transaction in Equal Monthly Installments up to certain period with additional interest charge @ 15% per annum (flat rate).</w:t>
      </w:r>
    </w:p>
    <w:p w:rsidR="00505750" w:rsidRDefault="00505750" w:rsidP="00B46839">
      <w:pPr>
        <w:spacing w:after="0" w:line="360" w:lineRule="auto"/>
        <w:jc w:val="both"/>
        <w:rPr>
          <w:rFonts w:ascii="Calibri" w:hAnsi="Calibri"/>
        </w:rPr>
      </w:pPr>
    </w:p>
    <w:p w:rsidR="00505750" w:rsidRPr="00B46839" w:rsidRDefault="00505750" w:rsidP="00505750">
      <w:pPr>
        <w:spacing w:after="0" w:line="360" w:lineRule="auto"/>
        <w:jc w:val="both"/>
        <w:rPr>
          <w:rFonts w:ascii="Calibri" w:hAnsi="Calibri"/>
          <w:b/>
          <w:u w:val="single"/>
        </w:rPr>
      </w:pPr>
      <w:r>
        <w:rPr>
          <w:rFonts w:ascii="Calibri" w:hAnsi="Calibri"/>
          <w:b/>
          <w:u w:val="single"/>
        </w:rPr>
        <w:t>Bank POS</w:t>
      </w:r>
      <w:r w:rsidRPr="00B46839">
        <w:rPr>
          <w:rFonts w:ascii="Calibri" w:hAnsi="Calibri"/>
          <w:b/>
          <w:u w:val="single"/>
        </w:rPr>
        <w:t xml:space="preserve"> EMI</w:t>
      </w:r>
    </w:p>
    <w:p w:rsidR="00505750" w:rsidRPr="00B46839" w:rsidRDefault="00505750" w:rsidP="00B46839">
      <w:pPr>
        <w:spacing w:after="0" w:line="360" w:lineRule="auto"/>
        <w:jc w:val="both"/>
        <w:rPr>
          <w:rFonts w:ascii="Calibri" w:hAnsi="Calibri"/>
          <w:b/>
          <w:u w:val="single"/>
        </w:rPr>
      </w:pPr>
      <w:r w:rsidRPr="00B46839">
        <w:rPr>
          <w:rFonts w:ascii="Calibri" w:hAnsi="Calibri"/>
        </w:rPr>
        <w:t>An SEBL Cardho</w:t>
      </w:r>
      <w:r>
        <w:rPr>
          <w:rFonts w:ascii="Calibri" w:hAnsi="Calibri"/>
        </w:rPr>
        <w:t>lder can pay for the Bank POS</w:t>
      </w:r>
      <w:r w:rsidRPr="00B46839">
        <w:rPr>
          <w:rFonts w:ascii="Calibri" w:hAnsi="Calibri"/>
        </w:rPr>
        <w:t xml:space="preserve"> transaction in Equal Monthly Installments up to certain period with</w:t>
      </w:r>
      <w:r>
        <w:rPr>
          <w:rFonts w:ascii="Calibri" w:hAnsi="Calibri"/>
        </w:rPr>
        <w:t xml:space="preserve"> additional interest charge @ 12</w:t>
      </w:r>
      <w:r w:rsidRPr="00B46839">
        <w:rPr>
          <w:rFonts w:ascii="Calibri" w:hAnsi="Calibri"/>
        </w:rPr>
        <w:t>% per annum (flat rate).</w:t>
      </w:r>
    </w:p>
    <w:p w:rsidR="00373B06" w:rsidRPr="00B46839" w:rsidRDefault="00373B06" w:rsidP="0083626E">
      <w:pPr>
        <w:spacing w:after="0" w:line="360" w:lineRule="auto"/>
        <w:jc w:val="both"/>
        <w:rPr>
          <w:rFonts w:ascii="Calibri" w:hAnsi="Calibri" w:cs="Calibri"/>
          <w:b/>
          <w:u w:val="single"/>
        </w:rPr>
      </w:pPr>
    </w:p>
    <w:p w:rsidR="00547C24" w:rsidRPr="00505750" w:rsidRDefault="00547C24" w:rsidP="0083626E">
      <w:pPr>
        <w:spacing w:after="0" w:line="360" w:lineRule="auto"/>
        <w:jc w:val="both"/>
        <w:rPr>
          <w:rFonts w:ascii="Calibri" w:hAnsi="Calibri" w:cs="Calibri"/>
          <w:b/>
          <w:u w:val="single"/>
        </w:rPr>
      </w:pPr>
      <w:r w:rsidRPr="00B46839">
        <w:rPr>
          <w:rFonts w:ascii="Calibri" w:hAnsi="Calibri" w:cs="Calibri"/>
          <w:b/>
          <w:u w:val="single"/>
        </w:rPr>
        <w:t>General Terms and Conditions:</w:t>
      </w:r>
    </w:p>
    <w:p w:rsidR="00547C24" w:rsidRPr="00B46839" w:rsidRDefault="00547C24" w:rsidP="0083626E">
      <w:pPr>
        <w:spacing w:after="0" w:line="360" w:lineRule="auto"/>
        <w:jc w:val="both"/>
        <w:rPr>
          <w:rFonts w:ascii="Calibri" w:hAnsi="Calibri" w:cs="Calibri"/>
        </w:rPr>
      </w:pPr>
    </w:p>
    <w:p w:rsidR="00547C24" w:rsidRPr="00B46839" w:rsidRDefault="00547C24" w:rsidP="0083626E">
      <w:pPr>
        <w:pStyle w:val="ListParagraph"/>
        <w:numPr>
          <w:ilvl w:val="0"/>
          <w:numId w:val="16"/>
        </w:numPr>
        <w:tabs>
          <w:tab w:val="clear" w:pos="720"/>
          <w:tab w:val="num" w:pos="1080"/>
        </w:tabs>
        <w:spacing w:after="0" w:line="360" w:lineRule="auto"/>
        <w:ind w:left="1080"/>
        <w:jc w:val="both"/>
        <w:rPr>
          <w:rFonts w:ascii="Calibri" w:hAnsi="Calibri" w:cs="Arial"/>
        </w:rPr>
      </w:pPr>
      <w:r w:rsidRPr="00B46839">
        <w:rPr>
          <w:rFonts w:ascii="Calibri" w:hAnsi="Calibri" w:cs="Arial"/>
          <w:b/>
        </w:rPr>
        <w:t>Computation of EMI amount:</w:t>
      </w:r>
      <w:r w:rsidRPr="00B46839">
        <w:rPr>
          <w:rFonts w:ascii="Calibri" w:hAnsi="Calibri" w:cs="Arial"/>
        </w:rPr>
        <w:t xml:space="preserve"> EMI amount will be computed on the amount requested for EMI plus Processing Fee or entire Interest as applicable. </w:t>
      </w:r>
    </w:p>
    <w:p w:rsidR="00547C24" w:rsidRPr="00B46839" w:rsidRDefault="00547C24" w:rsidP="0083626E">
      <w:pPr>
        <w:pStyle w:val="ListParagraph"/>
        <w:numPr>
          <w:ilvl w:val="0"/>
          <w:numId w:val="16"/>
        </w:numPr>
        <w:tabs>
          <w:tab w:val="clear" w:pos="720"/>
          <w:tab w:val="num" w:pos="1080"/>
        </w:tabs>
        <w:spacing w:after="0" w:line="360" w:lineRule="auto"/>
        <w:ind w:left="1080"/>
        <w:jc w:val="both"/>
        <w:rPr>
          <w:rFonts w:ascii="Calibri" w:hAnsi="Calibri" w:cs="Arial"/>
        </w:rPr>
      </w:pPr>
      <w:r w:rsidRPr="00B46839">
        <w:rPr>
          <w:rFonts w:ascii="Calibri" w:hAnsi="Calibri" w:cs="Arial"/>
          <w:b/>
        </w:rPr>
        <w:t>Billing:</w:t>
      </w:r>
      <w:r w:rsidRPr="00B46839">
        <w:rPr>
          <w:rFonts w:ascii="Calibri" w:hAnsi="Calibri" w:cs="Arial"/>
        </w:rPr>
        <w:t xml:space="preserve"> Once enrolled </w:t>
      </w:r>
      <w:r w:rsidR="00AD1C46" w:rsidRPr="00B46839">
        <w:rPr>
          <w:rFonts w:ascii="Calibri" w:hAnsi="Calibri" w:cs="Arial"/>
        </w:rPr>
        <w:t>in</w:t>
      </w:r>
      <w:r w:rsidRPr="00B46839">
        <w:rPr>
          <w:rFonts w:ascii="Calibri" w:hAnsi="Calibri" w:cs="Arial"/>
        </w:rPr>
        <w:t xml:space="preserve"> EMI PAY, the installment amount will be billed in the immediate next statement.</w:t>
      </w:r>
      <w:r w:rsidR="00AD1C46" w:rsidRPr="00B46839">
        <w:rPr>
          <w:rFonts w:ascii="Calibri" w:hAnsi="Calibri" w:cs="Arial"/>
        </w:rPr>
        <w:t xml:space="preserve"> All billing of EMIs in the subsequent months shall be on the billing date of the credit card for that month.</w:t>
      </w:r>
    </w:p>
    <w:p w:rsidR="00547C24" w:rsidRPr="00B46839" w:rsidRDefault="00547C24" w:rsidP="0083626E">
      <w:pPr>
        <w:pStyle w:val="ListParagraph"/>
        <w:numPr>
          <w:ilvl w:val="0"/>
          <w:numId w:val="16"/>
        </w:numPr>
        <w:tabs>
          <w:tab w:val="clear" w:pos="720"/>
          <w:tab w:val="num" w:pos="1080"/>
        </w:tabs>
        <w:spacing w:after="0" w:line="360" w:lineRule="auto"/>
        <w:ind w:left="1080"/>
        <w:jc w:val="both"/>
        <w:rPr>
          <w:rFonts w:ascii="Calibri" w:hAnsi="Calibri" w:cs="Arial"/>
        </w:rPr>
      </w:pPr>
      <w:r w:rsidRPr="00B46839">
        <w:rPr>
          <w:rFonts w:ascii="Calibri" w:hAnsi="Calibri" w:cs="Arial"/>
          <w:b/>
        </w:rPr>
        <w:t>Penalty:</w:t>
      </w:r>
      <w:r w:rsidRPr="00B46839">
        <w:rPr>
          <w:rFonts w:ascii="Calibri" w:hAnsi="Calibri" w:cs="Arial"/>
        </w:rPr>
        <w:t xml:space="preserve"> In the event of non-payment/partial payment of the Installme</w:t>
      </w:r>
      <w:r w:rsidR="00505750">
        <w:rPr>
          <w:rFonts w:ascii="Calibri" w:hAnsi="Calibri" w:cs="Arial"/>
        </w:rPr>
        <w:t>nt amount regular Interest @ 2</w:t>
      </w:r>
      <w:r w:rsidRPr="00B46839">
        <w:rPr>
          <w:rFonts w:ascii="Calibri" w:hAnsi="Calibri" w:cs="Arial"/>
        </w:rPr>
        <w:t>%</w:t>
      </w:r>
      <w:r w:rsidR="00F2412E" w:rsidRPr="00B46839">
        <w:rPr>
          <w:rFonts w:ascii="Calibri" w:hAnsi="Calibri" w:cs="Arial"/>
        </w:rPr>
        <w:t xml:space="preserve"> per month</w:t>
      </w:r>
      <w:r w:rsidRPr="00B46839">
        <w:rPr>
          <w:rFonts w:ascii="Calibri" w:hAnsi="Calibri" w:cs="Arial"/>
        </w:rPr>
        <w:t xml:space="preserve"> as well as Late Payment Fee </w:t>
      </w:r>
      <w:r w:rsidR="00F2412E" w:rsidRPr="00B46839">
        <w:rPr>
          <w:rFonts w:ascii="Calibri" w:hAnsi="Calibri" w:cs="Arial"/>
        </w:rPr>
        <w:t>will</w:t>
      </w:r>
      <w:r w:rsidRPr="00B46839">
        <w:rPr>
          <w:rFonts w:ascii="Calibri" w:hAnsi="Calibri" w:cs="Arial"/>
        </w:rPr>
        <w:t xml:space="preserve"> be imposed. </w:t>
      </w:r>
    </w:p>
    <w:p w:rsidR="00547C24" w:rsidRPr="00B46839" w:rsidRDefault="00547C24" w:rsidP="0083626E">
      <w:pPr>
        <w:pStyle w:val="ListParagraph"/>
        <w:numPr>
          <w:ilvl w:val="0"/>
          <w:numId w:val="16"/>
        </w:numPr>
        <w:tabs>
          <w:tab w:val="clear" w:pos="720"/>
          <w:tab w:val="num" w:pos="1080"/>
        </w:tabs>
        <w:spacing w:after="0" w:line="360" w:lineRule="auto"/>
        <w:ind w:left="1080"/>
        <w:jc w:val="both"/>
        <w:rPr>
          <w:rFonts w:ascii="Calibri" w:hAnsi="Calibri" w:cs="Arial"/>
        </w:rPr>
      </w:pPr>
      <w:r w:rsidRPr="00B46839">
        <w:rPr>
          <w:rFonts w:ascii="Calibri" w:hAnsi="Calibri" w:cs="Arial"/>
          <w:b/>
        </w:rPr>
        <w:t>Auto De-enrollment:</w:t>
      </w:r>
      <w:r w:rsidRPr="00B46839">
        <w:rPr>
          <w:rFonts w:ascii="Calibri" w:hAnsi="Calibri" w:cs="Arial"/>
        </w:rPr>
        <w:t xml:space="preserve"> In the event of non-payment/partial payment of the Inst</w:t>
      </w:r>
      <w:r w:rsidR="00505750">
        <w:rPr>
          <w:rFonts w:ascii="Calibri" w:hAnsi="Calibri" w:cs="Arial"/>
        </w:rPr>
        <w:t>allment amount for consecutive 3(three</w:t>
      </w:r>
      <w:r w:rsidRPr="00B46839">
        <w:rPr>
          <w:rFonts w:ascii="Calibri" w:hAnsi="Calibri" w:cs="Arial"/>
        </w:rPr>
        <w:t xml:space="preserve">) months, the EMI plan shall automatically be De-enrolled and shall reflect as regular outstanding balance in the immediate next statement.  </w:t>
      </w:r>
    </w:p>
    <w:p w:rsidR="00BD6366" w:rsidRPr="00B46839" w:rsidRDefault="00BD6366" w:rsidP="0083626E">
      <w:pPr>
        <w:pStyle w:val="ListParagraph"/>
        <w:numPr>
          <w:ilvl w:val="0"/>
          <w:numId w:val="16"/>
        </w:numPr>
        <w:tabs>
          <w:tab w:val="clear" w:pos="720"/>
          <w:tab w:val="num" w:pos="1080"/>
        </w:tabs>
        <w:spacing w:after="0" w:line="360" w:lineRule="auto"/>
        <w:ind w:left="1080"/>
        <w:jc w:val="both"/>
        <w:rPr>
          <w:rFonts w:ascii="Calibri" w:hAnsi="Calibri" w:cs="Arial"/>
        </w:rPr>
      </w:pPr>
      <w:r w:rsidRPr="00B46839">
        <w:rPr>
          <w:rFonts w:ascii="Calibri" w:hAnsi="Calibri" w:cs="Arial"/>
          <w:b/>
        </w:rPr>
        <w:t>Early settlement:</w:t>
      </w:r>
      <w:r w:rsidRPr="00B46839">
        <w:rPr>
          <w:rFonts w:ascii="Calibri" w:hAnsi="Calibri" w:cs="Arial"/>
        </w:rPr>
        <w:t xml:space="preserve"> Cardholder may make early se</w:t>
      </w:r>
      <w:r w:rsidR="00505750">
        <w:rPr>
          <w:rFonts w:ascii="Calibri" w:hAnsi="Calibri" w:cs="Arial"/>
        </w:rPr>
        <w:t>ttlement at any time with 2%</w:t>
      </w:r>
      <w:r w:rsidRPr="00B46839">
        <w:rPr>
          <w:rFonts w:ascii="Calibri" w:hAnsi="Calibri" w:cs="Arial"/>
        </w:rPr>
        <w:t xml:space="preserve"> early settlement fee. </w:t>
      </w:r>
      <w:bookmarkStart w:id="0" w:name="_GoBack"/>
      <w:bookmarkEnd w:id="0"/>
    </w:p>
    <w:sectPr w:rsidR="00BD6366" w:rsidRPr="00B46839" w:rsidSect="00941EA9">
      <w:headerReference w:type="default" r:id="rId8"/>
      <w:footerReference w:type="default" r:id="rId9"/>
      <w:pgSz w:w="11907" w:h="16839" w:code="9"/>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184" w:rsidRDefault="00676184" w:rsidP="0048776A">
      <w:pPr>
        <w:spacing w:after="0" w:line="240" w:lineRule="auto"/>
      </w:pPr>
      <w:r>
        <w:separator/>
      </w:r>
    </w:p>
  </w:endnote>
  <w:endnote w:type="continuationSeparator" w:id="0">
    <w:p w:rsidR="00676184" w:rsidRDefault="00676184" w:rsidP="004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sz w:val="24"/>
        <w:szCs w:val="24"/>
      </w:rPr>
      <w:id w:val="12680938"/>
      <w:docPartObj>
        <w:docPartGallery w:val="Page Numbers (Bottom of Page)"/>
        <w:docPartUnique/>
      </w:docPartObj>
    </w:sdtPr>
    <w:sdtEndPr/>
    <w:sdtContent>
      <w:sdt>
        <w:sdtPr>
          <w:rPr>
            <w:rFonts w:ascii="Calibri" w:hAnsi="Calibri"/>
            <w:sz w:val="24"/>
            <w:szCs w:val="24"/>
          </w:rPr>
          <w:id w:val="98381352"/>
          <w:docPartObj>
            <w:docPartGallery w:val="Page Numbers (Top of Page)"/>
            <w:docPartUnique/>
          </w:docPartObj>
        </w:sdtPr>
        <w:sdtEndPr/>
        <w:sdtContent>
          <w:p w:rsidR="001A6687" w:rsidRPr="005C5086" w:rsidRDefault="001A6687" w:rsidP="005C5086">
            <w:pPr>
              <w:pStyle w:val="Footer"/>
              <w:jc w:val="center"/>
              <w:rPr>
                <w:rFonts w:ascii="Calibri" w:hAnsi="Calibri"/>
                <w:sz w:val="24"/>
                <w:szCs w:val="24"/>
              </w:rPr>
            </w:pPr>
            <w:r w:rsidRPr="005C5086">
              <w:rPr>
                <w:rFonts w:ascii="Calibri" w:hAnsi="Calibri"/>
                <w:sz w:val="24"/>
                <w:szCs w:val="24"/>
              </w:rPr>
              <w:t xml:space="preserve">Page </w:t>
            </w:r>
            <w:r w:rsidR="0074712A" w:rsidRPr="005C5086">
              <w:rPr>
                <w:rFonts w:ascii="Calibri" w:hAnsi="Calibri"/>
                <w:b/>
                <w:sz w:val="24"/>
                <w:szCs w:val="24"/>
              </w:rPr>
              <w:fldChar w:fldCharType="begin"/>
            </w:r>
            <w:r w:rsidRPr="005C5086">
              <w:rPr>
                <w:rFonts w:ascii="Calibri" w:hAnsi="Calibri"/>
                <w:b/>
                <w:sz w:val="24"/>
                <w:szCs w:val="24"/>
              </w:rPr>
              <w:instrText xml:space="preserve"> PAGE </w:instrText>
            </w:r>
            <w:r w:rsidR="0074712A" w:rsidRPr="005C5086">
              <w:rPr>
                <w:rFonts w:ascii="Calibri" w:hAnsi="Calibri"/>
                <w:b/>
                <w:sz w:val="24"/>
                <w:szCs w:val="24"/>
              </w:rPr>
              <w:fldChar w:fldCharType="separate"/>
            </w:r>
            <w:r w:rsidR="00285DA4">
              <w:rPr>
                <w:rFonts w:ascii="Calibri" w:hAnsi="Calibri"/>
                <w:b/>
                <w:noProof/>
                <w:sz w:val="24"/>
                <w:szCs w:val="24"/>
              </w:rPr>
              <w:t>2</w:t>
            </w:r>
            <w:r w:rsidR="0074712A" w:rsidRPr="005C5086">
              <w:rPr>
                <w:rFonts w:ascii="Calibri" w:hAnsi="Calibri"/>
                <w:b/>
                <w:sz w:val="24"/>
                <w:szCs w:val="24"/>
              </w:rPr>
              <w:fldChar w:fldCharType="end"/>
            </w:r>
            <w:r w:rsidRPr="005C5086">
              <w:rPr>
                <w:rFonts w:ascii="Calibri" w:hAnsi="Calibri"/>
                <w:sz w:val="24"/>
                <w:szCs w:val="24"/>
              </w:rPr>
              <w:t xml:space="preserve"> of </w:t>
            </w:r>
            <w:r w:rsidR="0074712A" w:rsidRPr="005C5086">
              <w:rPr>
                <w:rFonts w:ascii="Calibri" w:hAnsi="Calibri"/>
                <w:b/>
                <w:sz w:val="24"/>
                <w:szCs w:val="24"/>
              </w:rPr>
              <w:fldChar w:fldCharType="begin"/>
            </w:r>
            <w:r w:rsidRPr="005C5086">
              <w:rPr>
                <w:rFonts w:ascii="Calibri" w:hAnsi="Calibri"/>
                <w:b/>
                <w:sz w:val="24"/>
                <w:szCs w:val="24"/>
              </w:rPr>
              <w:instrText xml:space="preserve"> NUMPAGES  </w:instrText>
            </w:r>
            <w:r w:rsidR="0074712A" w:rsidRPr="005C5086">
              <w:rPr>
                <w:rFonts w:ascii="Calibri" w:hAnsi="Calibri"/>
                <w:b/>
                <w:sz w:val="24"/>
                <w:szCs w:val="24"/>
              </w:rPr>
              <w:fldChar w:fldCharType="separate"/>
            </w:r>
            <w:r w:rsidR="00285DA4">
              <w:rPr>
                <w:rFonts w:ascii="Calibri" w:hAnsi="Calibri"/>
                <w:b/>
                <w:noProof/>
                <w:sz w:val="24"/>
                <w:szCs w:val="24"/>
              </w:rPr>
              <w:t>2</w:t>
            </w:r>
            <w:r w:rsidR="0074712A" w:rsidRPr="005C5086">
              <w:rPr>
                <w:rFonts w:ascii="Calibri" w:hAnsi="Calibri"/>
                <w:b/>
                <w:sz w:val="24"/>
                <w:szCs w:val="24"/>
              </w:rPr>
              <w:fldChar w:fldCharType="end"/>
            </w:r>
          </w:p>
        </w:sdtContent>
      </w:sdt>
    </w:sdtContent>
  </w:sdt>
  <w:p w:rsidR="001A6687" w:rsidRDefault="001A6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184" w:rsidRDefault="00676184" w:rsidP="0048776A">
      <w:pPr>
        <w:spacing w:after="0" w:line="240" w:lineRule="auto"/>
      </w:pPr>
      <w:r>
        <w:separator/>
      </w:r>
    </w:p>
  </w:footnote>
  <w:footnote w:type="continuationSeparator" w:id="0">
    <w:p w:rsidR="00676184" w:rsidRDefault="00676184" w:rsidP="00487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687" w:rsidRPr="00163F3C" w:rsidRDefault="00163F3C" w:rsidP="00163F3C">
    <w:pPr>
      <w:pStyle w:val="Header"/>
      <w:jc w:val="center"/>
      <w:rPr>
        <w:rFonts w:asciiTheme="minorHAnsi" w:hAnsiTheme="minorHAnsi"/>
        <w:b/>
        <w:sz w:val="24"/>
        <w:szCs w:val="24"/>
      </w:rPr>
    </w:pPr>
    <w:r w:rsidRPr="00163F3C">
      <w:rPr>
        <w:rFonts w:asciiTheme="minorHAnsi" w:hAnsiTheme="minorHAnsi"/>
        <w:b/>
        <w:noProof/>
        <w:sz w:val="24"/>
        <w:szCs w:val="24"/>
        <w:lang w:bidi="ar-SA"/>
      </w:rPr>
      <w:drawing>
        <wp:inline distT="0" distB="0" distL="0" distR="0">
          <wp:extent cx="523875" cy="3619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20000" contrast="40000"/>
                  </a:blip>
                  <a:srcRect/>
                  <a:stretch>
                    <a:fillRect/>
                  </a:stretch>
                </pic:blipFill>
                <pic:spPr bwMode="auto">
                  <a:xfrm>
                    <a:off x="0" y="0"/>
                    <a:ext cx="523875" cy="361950"/>
                  </a:xfrm>
                  <a:prstGeom prst="rect">
                    <a:avLst/>
                  </a:prstGeom>
                  <a:noFill/>
                  <a:ln w="9525">
                    <a:noFill/>
                    <a:miter lim="800000"/>
                    <a:headEnd/>
                    <a:tailEnd/>
                  </a:ln>
                </pic:spPr>
              </pic:pic>
            </a:graphicData>
          </a:graphic>
        </wp:inline>
      </w:drawing>
    </w:r>
    <w:r w:rsidRPr="00163F3C">
      <w:rPr>
        <w:rFonts w:asciiTheme="minorHAnsi" w:hAnsiTheme="minorHAnsi"/>
        <w:b/>
        <w:sz w:val="24"/>
        <w:szCs w:val="24"/>
      </w:rPr>
      <w:t>Southeast Bank Limited</w:t>
    </w:r>
    <w:r>
      <w:rPr>
        <w:rFonts w:asciiTheme="minorHAnsi" w:hAnsiTheme="minorHAnsi"/>
        <w:b/>
        <w:sz w:val="24"/>
        <w:szCs w:val="24"/>
      </w:rPr>
      <w:t xml:space="preserve">, </w:t>
    </w:r>
    <w:r w:rsidR="001A6687" w:rsidRPr="00163F3C">
      <w:rPr>
        <w:rFonts w:asciiTheme="minorHAnsi" w:hAnsiTheme="minorHAnsi"/>
        <w:b/>
        <w:sz w:val="24"/>
        <w:szCs w:val="24"/>
      </w:rPr>
      <w:t>Card Division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C38"/>
    <w:multiLevelType w:val="hybridMultilevel"/>
    <w:tmpl w:val="08168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F7892"/>
    <w:multiLevelType w:val="hybridMultilevel"/>
    <w:tmpl w:val="BCBC2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954B1"/>
    <w:multiLevelType w:val="hybridMultilevel"/>
    <w:tmpl w:val="A6745F60"/>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8D305DC"/>
    <w:multiLevelType w:val="hybridMultilevel"/>
    <w:tmpl w:val="30C084F8"/>
    <w:lvl w:ilvl="0" w:tplc="CF740F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4317AE"/>
    <w:multiLevelType w:val="hybridMultilevel"/>
    <w:tmpl w:val="68E6DF0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E0F553B"/>
    <w:multiLevelType w:val="hybridMultilevel"/>
    <w:tmpl w:val="2F620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36192"/>
    <w:multiLevelType w:val="hybridMultilevel"/>
    <w:tmpl w:val="E600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7309C0"/>
    <w:multiLevelType w:val="hybridMultilevel"/>
    <w:tmpl w:val="30C084F8"/>
    <w:lvl w:ilvl="0" w:tplc="CF740F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E54BDC"/>
    <w:multiLevelType w:val="hybridMultilevel"/>
    <w:tmpl w:val="76E8390E"/>
    <w:lvl w:ilvl="0" w:tplc="11FA1F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AD08A1"/>
    <w:multiLevelType w:val="hybridMultilevel"/>
    <w:tmpl w:val="38128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E20A48"/>
    <w:multiLevelType w:val="hybridMultilevel"/>
    <w:tmpl w:val="75F01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263452"/>
    <w:multiLevelType w:val="hybridMultilevel"/>
    <w:tmpl w:val="C1A2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672880"/>
    <w:multiLevelType w:val="hybridMultilevel"/>
    <w:tmpl w:val="20A01F74"/>
    <w:lvl w:ilvl="0" w:tplc="0409000F">
      <w:start w:val="1"/>
      <w:numFmt w:val="decimal"/>
      <w:lvlText w:val="%1."/>
      <w:lvlJc w:val="left"/>
      <w:pPr>
        <w:ind w:left="144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6F95673"/>
    <w:multiLevelType w:val="hybridMultilevel"/>
    <w:tmpl w:val="FB64DB8C"/>
    <w:lvl w:ilvl="0" w:tplc="04090001">
      <w:start w:val="1"/>
      <w:numFmt w:val="bullet"/>
      <w:lvlText w:val=""/>
      <w:lvlJc w:val="left"/>
      <w:pPr>
        <w:tabs>
          <w:tab w:val="num" w:pos="720"/>
        </w:tabs>
        <w:ind w:left="720" w:hanging="360"/>
      </w:pPr>
      <w:rPr>
        <w:rFonts w:ascii="Symbol" w:hAnsi="Symbol" w:hint="default"/>
      </w:rPr>
    </w:lvl>
    <w:lvl w:ilvl="1" w:tplc="718C998C">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C17008A"/>
    <w:multiLevelType w:val="hybridMultilevel"/>
    <w:tmpl w:val="92AA1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51706C"/>
    <w:multiLevelType w:val="hybridMultilevel"/>
    <w:tmpl w:val="BEC2C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3A02B4"/>
    <w:multiLevelType w:val="hybridMultilevel"/>
    <w:tmpl w:val="46AA6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15"/>
  </w:num>
  <w:num w:numId="5">
    <w:abstractNumId w:val="5"/>
  </w:num>
  <w:num w:numId="6">
    <w:abstractNumId w:val="14"/>
  </w:num>
  <w:num w:numId="7">
    <w:abstractNumId w:val="6"/>
  </w:num>
  <w:num w:numId="8">
    <w:abstractNumId w:val="8"/>
  </w:num>
  <w:num w:numId="9">
    <w:abstractNumId w:val="1"/>
  </w:num>
  <w:num w:numId="10">
    <w:abstractNumId w:val="3"/>
  </w:num>
  <w:num w:numId="11">
    <w:abstractNumId w:val="7"/>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11"/>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6A"/>
    <w:rsid w:val="0002098D"/>
    <w:rsid w:val="00035B27"/>
    <w:rsid w:val="00040B6F"/>
    <w:rsid w:val="00046109"/>
    <w:rsid w:val="00052312"/>
    <w:rsid w:val="0005269A"/>
    <w:rsid w:val="00062B19"/>
    <w:rsid w:val="000866C3"/>
    <w:rsid w:val="000B0C62"/>
    <w:rsid w:val="000B5EC0"/>
    <w:rsid w:val="000D08EF"/>
    <w:rsid w:val="000F3297"/>
    <w:rsid w:val="0010235C"/>
    <w:rsid w:val="00103D87"/>
    <w:rsid w:val="001113B0"/>
    <w:rsid w:val="00113741"/>
    <w:rsid w:val="00113769"/>
    <w:rsid w:val="001325B7"/>
    <w:rsid w:val="00133253"/>
    <w:rsid w:val="00135DEF"/>
    <w:rsid w:val="00136724"/>
    <w:rsid w:val="00163F3C"/>
    <w:rsid w:val="00176D9C"/>
    <w:rsid w:val="001809E4"/>
    <w:rsid w:val="001960F9"/>
    <w:rsid w:val="00197159"/>
    <w:rsid w:val="001A344F"/>
    <w:rsid w:val="001A6687"/>
    <w:rsid w:val="001C2F30"/>
    <w:rsid w:val="001C49A3"/>
    <w:rsid w:val="001C5F49"/>
    <w:rsid w:val="001D1773"/>
    <w:rsid w:val="001E2C33"/>
    <w:rsid w:val="001F7646"/>
    <w:rsid w:val="002420C5"/>
    <w:rsid w:val="002637D6"/>
    <w:rsid w:val="002642D7"/>
    <w:rsid w:val="00264BF9"/>
    <w:rsid w:val="00272B85"/>
    <w:rsid w:val="00276CC3"/>
    <w:rsid w:val="00281B0B"/>
    <w:rsid w:val="00285DA4"/>
    <w:rsid w:val="002A1D19"/>
    <w:rsid w:val="002A388E"/>
    <w:rsid w:val="002B0AE9"/>
    <w:rsid w:val="002E2627"/>
    <w:rsid w:val="002E2CE5"/>
    <w:rsid w:val="002F1D90"/>
    <w:rsid w:val="003037CD"/>
    <w:rsid w:val="00311D57"/>
    <w:rsid w:val="003126FD"/>
    <w:rsid w:val="003233FB"/>
    <w:rsid w:val="003527F4"/>
    <w:rsid w:val="003550F7"/>
    <w:rsid w:val="0035664D"/>
    <w:rsid w:val="00373B06"/>
    <w:rsid w:val="003873C8"/>
    <w:rsid w:val="00395865"/>
    <w:rsid w:val="003A37CC"/>
    <w:rsid w:val="003B6283"/>
    <w:rsid w:val="003C05DE"/>
    <w:rsid w:val="003F6E45"/>
    <w:rsid w:val="0040109F"/>
    <w:rsid w:val="00410EFD"/>
    <w:rsid w:val="004110F0"/>
    <w:rsid w:val="00416B8D"/>
    <w:rsid w:val="00416BAB"/>
    <w:rsid w:val="0043101B"/>
    <w:rsid w:val="00445B4A"/>
    <w:rsid w:val="00463E9E"/>
    <w:rsid w:val="00467A29"/>
    <w:rsid w:val="00470167"/>
    <w:rsid w:val="00474FFA"/>
    <w:rsid w:val="0048776A"/>
    <w:rsid w:val="004A6ACB"/>
    <w:rsid w:val="004C2E59"/>
    <w:rsid w:val="004C376F"/>
    <w:rsid w:val="004D52C0"/>
    <w:rsid w:val="004E541C"/>
    <w:rsid w:val="004E5FA2"/>
    <w:rsid w:val="00505750"/>
    <w:rsid w:val="00522731"/>
    <w:rsid w:val="00527299"/>
    <w:rsid w:val="00534F7F"/>
    <w:rsid w:val="005350D7"/>
    <w:rsid w:val="00547C24"/>
    <w:rsid w:val="005513F0"/>
    <w:rsid w:val="00563DA7"/>
    <w:rsid w:val="00567DD6"/>
    <w:rsid w:val="0057385E"/>
    <w:rsid w:val="005B5906"/>
    <w:rsid w:val="005C4CF9"/>
    <w:rsid w:val="005C5086"/>
    <w:rsid w:val="005D3E30"/>
    <w:rsid w:val="005D6CE9"/>
    <w:rsid w:val="005E0E01"/>
    <w:rsid w:val="005F0448"/>
    <w:rsid w:val="005F1CD1"/>
    <w:rsid w:val="005F36E8"/>
    <w:rsid w:val="00612637"/>
    <w:rsid w:val="00613EE7"/>
    <w:rsid w:val="00622923"/>
    <w:rsid w:val="006231A5"/>
    <w:rsid w:val="0063402F"/>
    <w:rsid w:val="006468BE"/>
    <w:rsid w:val="00650114"/>
    <w:rsid w:val="00655763"/>
    <w:rsid w:val="006635FB"/>
    <w:rsid w:val="00676184"/>
    <w:rsid w:val="006808B9"/>
    <w:rsid w:val="00682A41"/>
    <w:rsid w:val="006911EB"/>
    <w:rsid w:val="00696686"/>
    <w:rsid w:val="006B4912"/>
    <w:rsid w:val="006C06C2"/>
    <w:rsid w:val="006C3592"/>
    <w:rsid w:val="006D6B7B"/>
    <w:rsid w:val="006E433B"/>
    <w:rsid w:val="006F2035"/>
    <w:rsid w:val="007031FA"/>
    <w:rsid w:val="00705B22"/>
    <w:rsid w:val="00720213"/>
    <w:rsid w:val="00726F81"/>
    <w:rsid w:val="00740FC0"/>
    <w:rsid w:val="00743FC6"/>
    <w:rsid w:val="0074712A"/>
    <w:rsid w:val="0079220C"/>
    <w:rsid w:val="00794BF7"/>
    <w:rsid w:val="007A75C6"/>
    <w:rsid w:val="007B439A"/>
    <w:rsid w:val="007C1E38"/>
    <w:rsid w:val="007E3AF3"/>
    <w:rsid w:val="007E5681"/>
    <w:rsid w:val="007F1B63"/>
    <w:rsid w:val="007F6953"/>
    <w:rsid w:val="00805E56"/>
    <w:rsid w:val="00806483"/>
    <w:rsid w:val="0081267B"/>
    <w:rsid w:val="00826097"/>
    <w:rsid w:val="00832434"/>
    <w:rsid w:val="0083626E"/>
    <w:rsid w:val="00837CEA"/>
    <w:rsid w:val="008445EE"/>
    <w:rsid w:val="00855FBF"/>
    <w:rsid w:val="0088189A"/>
    <w:rsid w:val="0089017E"/>
    <w:rsid w:val="00894EF3"/>
    <w:rsid w:val="008B7965"/>
    <w:rsid w:val="008C69BC"/>
    <w:rsid w:val="009008C2"/>
    <w:rsid w:val="009020B3"/>
    <w:rsid w:val="00905729"/>
    <w:rsid w:val="00905A40"/>
    <w:rsid w:val="00941EA9"/>
    <w:rsid w:val="00947E19"/>
    <w:rsid w:val="00955DBA"/>
    <w:rsid w:val="0098471D"/>
    <w:rsid w:val="009A6D42"/>
    <w:rsid w:val="009D47D5"/>
    <w:rsid w:val="00A014DA"/>
    <w:rsid w:val="00A0545C"/>
    <w:rsid w:val="00A1451B"/>
    <w:rsid w:val="00A22F5A"/>
    <w:rsid w:val="00A4279F"/>
    <w:rsid w:val="00A620AE"/>
    <w:rsid w:val="00A831E3"/>
    <w:rsid w:val="00A854A7"/>
    <w:rsid w:val="00A85F3D"/>
    <w:rsid w:val="00A9686C"/>
    <w:rsid w:val="00A97843"/>
    <w:rsid w:val="00AA3FCD"/>
    <w:rsid w:val="00AB010E"/>
    <w:rsid w:val="00AB15CD"/>
    <w:rsid w:val="00AC595A"/>
    <w:rsid w:val="00AD1C46"/>
    <w:rsid w:val="00AE0484"/>
    <w:rsid w:val="00B05A2B"/>
    <w:rsid w:val="00B112D0"/>
    <w:rsid w:val="00B35509"/>
    <w:rsid w:val="00B3604D"/>
    <w:rsid w:val="00B41E82"/>
    <w:rsid w:val="00B46839"/>
    <w:rsid w:val="00B50ECD"/>
    <w:rsid w:val="00B54D1B"/>
    <w:rsid w:val="00B54FB6"/>
    <w:rsid w:val="00B721FC"/>
    <w:rsid w:val="00B73FA4"/>
    <w:rsid w:val="00B76D6E"/>
    <w:rsid w:val="00B80397"/>
    <w:rsid w:val="00B835A3"/>
    <w:rsid w:val="00B83A90"/>
    <w:rsid w:val="00B87421"/>
    <w:rsid w:val="00B87ED8"/>
    <w:rsid w:val="00B930B2"/>
    <w:rsid w:val="00B9570A"/>
    <w:rsid w:val="00B96AFE"/>
    <w:rsid w:val="00BB5EDC"/>
    <w:rsid w:val="00BD0867"/>
    <w:rsid w:val="00BD6366"/>
    <w:rsid w:val="00C24BEE"/>
    <w:rsid w:val="00C31494"/>
    <w:rsid w:val="00C31F6F"/>
    <w:rsid w:val="00C33750"/>
    <w:rsid w:val="00C41AD2"/>
    <w:rsid w:val="00C4333F"/>
    <w:rsid w:val="00C44E70"/>
    <w:rsid w:val="00C53740"/>
    <w:rsid w:val="00C57E70"/>
    <w:rsid w:val="00C6443D"/>
    <w:rsid w:val="00C751CB"/>
    <w:rsid w:val="00C96D9B"/>
    <w:rsid w:val="00C974C2"/>
    <w:rsid w:val="00CA03AA"/>
    <w:rsid w:val="00CB0F46"/>
    <w:rsid w:val="00CC3FC7"/>
    <w:rsid w:val="00CE2E88"/>
    <w:rsid w:val="00CE67F0"/>
    <w:rsid w:val="00CF7252"/>
    <w:rsid w:val="00D03E7D"/>
    <w:rsid w:val="00D0629B"/>
    <w:rsid w:val="00D33A3D"/>
    <w:rsid w:val="00D33CC5"/>
    <w:rsid w:val="00D44C3C"/>
    <w:rsid w:val="00D6189E"/>
    <w:rsid w:val="00D702A1"/>
    <w:rsid w:val="00DB7531"/>
    <w:rsid w:val="00DE0C18"/>
    <w:rsid w:val="00DE143F"/>
    <w:rsid w:val="00DE1CAD"/>
    <w:rsid w:val="00DE226B"/>
    <w:rsid w:val="00DF3072"/>
    <w:rsid w:val="00E05499"/>
    <w:rsid w:val="00E12C4E"/>
    <w:rsid w:val="00E153F0"/>
    <w:rsid w:val="00E2223D"/>
    <w:rsid w:val="00E2519E"/>
    <w:rsid w:val="00E268DF"/>
    <w:rsid w:val="00E35CE0"/>
    <w:rsid w:val="00E46390"/>
    <w:rsid w:val="00E53D5B"/>
    <w:rsid w:val="00E55216"/>
    <w:rsid w:val="00E55AF6"/>
    <w:rsid w:val="00E63534"/>
    <w:rsid w:val="00E64F15"/>
    <w:rsid w:val="00E82441"/>
    <w:rsid w:val="00E9649B"/>
    <w:rsid w:val="00EA14E3"/>
    <w:rsid w:val="00EA70F1"/>
    <w:rsid w:val="00EC654F"/>
    <w:rsid w:val="00ED5D90"/>
    <w:rsid w:val="00EE2640"/>
    <w:rsid w:val="00EE3FC7"/>
    <w:rsid w:val="00F2412E"/>
    <w:rsid w:val="00F24BA9"/>
    <w:rsid w:val="00F24E8C"/>
    <w:rsid w:val="00F3120B"/>
    <w:rsid w:val="00F36AB9"/>
    <w:rsid w:val="00F42042"/>
    <w:rsid w:val="00F57246"/>
    <w:rsid w:val="00F66DB4"/>
    <w:rsid w:val="00F673B4"/>
    <w:rsid w:val="00FA77AF"/>
    <w:rsid w:val="00FB1B0A"/>
    <w:rsid w:val="00FB7864"/>
    <w:rsid w:val="00FD2066"/>
    <w:rsid w:val="00FD2B1C"/>
    <w:rsid w:val="00FE7AE1"/>
    <w:rsid w:val="00FF0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1D0D6"/>
  <w15:docId w15:val="{6F26D674-AFF6-49F6-A719-0429A01A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95865"/>
  </w:style>
  <w:style w:type="paragraph" w:styleId="Heading1">
    <w:name w:val="heading 1"/>
    <w:basedOn w:val="Normal"/>
    <w:next w:val="Normal"/>
    <w:link w:val="Heading1Char"/>
    <w:uiPriority w:val="9"/>
    <w:qFormat/>
    <w:rsid w:val="00395865"/>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395865"/>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395865"/>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395865"/>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395865"/>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395865"/>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395865"/>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395865"/>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395865"/>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76A"/>
    <w:rPr>
      <w:rFonts w:ascii="Tahoma" w:hAnsi="Tahoma" w:cs="Tahoma"/>
      <w:sz w:val="16"/>
      <w:szCs w:val="16"/>
    </w:rPr>
  </w:style>
  <w:style w:type="paragraph" w:styleId="Header">
    <w:name w:val="header"/>
    <w:basedOn w:val="Normal"/>
    <w:link w:val="HeaderChar"/>
    <w:uiPriority w:val="99"/>
    <w:semiHidden/>
    <w:unhideWhenUsed/>
    <w:rsid w:val="004877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776A"/>
  </w:style>
  <w:style w:type="paragraph" w:styleId="Footer">
    <w:name w:val="footer"/>
    <w:basedOn w:val="Normal"/>
    <w:link w:val="FooterChar"/>
    <w:uiPriority w:val="99"/>
    <w:unhideWhenUsed/>
    <w:rsid w:val="00487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76A"/>
  </w:style>
  <w:style w:type="table" w:styleId="TableGrid">
    <w:name w:val="Table Grid"/>
    <w:basedOn w:val="TableNormal"/>
    <w:uiPriority w:val="59"/>
    <w:rsid w:val="00B96A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95865"/>
    <w:pPr>
      <w:ind w:left="720"/>
      <w:contextualSpacing/>
    </w:pPr>
  </w:style>
  <w:style w:type="character" w:customStyle="1" w:styleId="Heading1Char">
    <w:name w:val="Heading 1 Char"/>
    <w:basedOn w:val="DefaultParagraphFont"/>
    <w:link w:val="Heading1"/>
    <w:uiPriority w:val="9"/>
    <w:rsid w:val="00395865"/>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395865"/>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395865"/>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395865"/>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395865"/>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395865"/>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395865"/>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395865"/>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395865"/>
    <w:rPr>
      <w:rFonts w:eastAsiaTheme="majorEastAsia" w:cstheme="majorBidi"/>
      <w:i/>
      <w:iCs/>
      <w:caps/>
      <w:spacing w:val="10"/>
      <w:sz w:val="20"/>
      <w:szCs w:val="20"/>
    </w:rPr>
  </w:style>
  <w:style w:type="paragraph" w:styleId="Title">
    <w:name w:val="Title"/>
    <w:basedOn w:val="Normal"/>
    <w:next w:val="Normal"/>
    <w:link w:val="TitleChar"/>
    <w:uiPriority w:val="10"/>
    <w:qFormat/>
    <w:rsid w:val="00395865"/>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395865"/>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395865"/>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395865"/>
    <w:rPr>
      <w:rFonts w:eastAsiaTheme="majorEastAsia" w:cstheme="majorBidi"/>
      <w:caps/>
      <w:spacing w:val="20"/>
      <w:sz w:val="18"/>
      <w:szCs w:val="18"/>
    </w:rPr>
  </w:style>
  <w:style w:type="character" w:styleId="Strong">
    <w:name w:val="Strong"/>
    <w:uiPriority w:val="22"/>
    <w:qFormat/>
    <w:rsid w:val="00395865"/>
    <w:rPr>
      <w:b/>
      <w:bCs/>
      <w:color w:val="943634" w:themeColor="accent2" w:themeShade="BF"/>
      <w:spacing w:val="5"/>
    </w:rPr>
  </w:style>
  <w:style w:type="character" w:styleId="Emphasis">
    <w:name w:val="Emphasis"/>
    <w:uiPriority w:val="20"/>
    <w:qFormat/>
    <w:rsid w:val="00395865"/>
    <w:rPr>
      <w:caps/>
      <w:spacing w:val="5"/>
      <w:sz w:val="20"/>
      <w:szCs w:val="20"/>
    </w:rPr>
  </w:style>
  <w:style w:type="paragraph" w:styleId="NoSpacing">
    <w:name w:val="No Spacing"/>
    <w:basedOn w:val="Normal"/>
    <w:link w:val="NoSpacingChar"/>
    <w:uiPriority w:val="1"/>
    <w:qFormat/>
    <w:rsid w:val="00395865"/>
    <w:pPr>
      <w:spacing w:after="0" w:line="240" w:lineRule="auto"/>
    </w:pPr>
  </w:style>
  <w:style w:type="paragraph" w:styleId="Quote">
    <w:name w:val="Quote"/>
    <w:basedOn w:val="Normal"/>
    <w:next w:val="Normal"/>
    <w:link w:val="QuoteChar"/>
    <w:uiPriority w:val="29"/>
    <w:qFormat/>
    <w:rsid w:val="00395865"/>
    <w:rPr>
      <w:i/>
      <w:iCs/>
    </w:rPr>
  </w:style>
  <w:style w:type="character" w:customStyle="1" w:styleId="QuoteChar">
    <w:name w:val="Quote Char"/>
    <w:basedOn w:val="DefaultParagraphFont"/>
    <w:link w:val="Quote"/>
    <w:uiPriority w:val="29"/>
    <w:rsid w:val="00395865"/>
    <w:rPr>
      <w:rFonts w:eastAsiaTheme="majorEastAsia" w:cstheme="majorBidi"/>
      <w:i/>
      <w:iCs/>
    </w:rPr>
  </w:style>
  <w:style w:type="paragraph" w:styleId="IntenseQuote">
    <w:name w:val="Intense Quote"/>
    <w:basedOn w:val="Normal"/>
    <w:next w:val="Normal"/>
    <w:link w:val="IntenseQuoteChar"/>
    <w:uiPriority w:val="30"/>
    <w:qFormat/>
    <w:rsid w:val="00395865"/>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395865"/>
    <w:rPr>
      <w:rFonts w:eastAsiaTheme="majorEastAsia" w:cstheme="majorBidi"/>
      <w:caps/>
      <w:color w:val="622423" w:themeColor="accent2" w:themeShade="7F"/>
      <w:spacing w:val="5"/>
      <w:sz w:val="20"/>
      <w:szCs w:val="20"/>
    </w:rPr>
  </w:style>
  <w:style w:type="character" w:styleId="SubtleEmphasis">
    <w:name w:val="Subtle Emphasis"/>
    <w:uiPriority w:val="19"/>
    <w:qFormat/>
    <w:rsid w:val="00395865"/>
    <w:rPr>
      <w:i/>
      <w:iCs/>
    </w:rPr>
  </w:style>
  <w:style w:type="character" w:styleId="IntenseEmphasis">
    <w:name w:val="Intense Emphasis"/>
    <w:uiPriority w:val="21"/>
    <w:qFormat/>
    <w:rsid w:val="00395865"/>
    <w:rPr>
      <w:i/>
      <w:iCs/>
      <w:caps/>
      <w:spacing w:val="10"/>
      <w:sz w:val="20"/>
      <w:szCs w:val="20"/>
    </w:rPr>
  </w:style>
  <w:style w:type="character" w:styleId="SubtleReference">
    <w:name w:val="Subtle Reference"/>
    <w:basedOn w:val="DefaultParagraphFont"/>
    <w:uiPriority w:val="31"/>
    <w:qFormat/>
    <w:rsid w:val="00395865"/>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395865"/>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395865"/>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395865"/>
    <w:pPr>
      <w:outlineLvl w:val="9"/>
    </w:pPr>
  </w:style>
  <w:style w:type="paragraph" w:styleId="Caption">
    <w:name w:val="caption"/>
    <w:basedOn w:val="Normal"/>
    <w:next w:val="Normal"/>
    <w:uiPriority w:val="35"/>
    <w:semiHidden/>
    <w:unhideWhenUsed/>
    <w:qFormat/>
    <w:rsid w:val="00395865"/>
    <w:rPr>
      <w:caps/>
      <w:spacing w:val="10"/>
      <w:sz w:val="18"/>
      <w:szCs w:val="18"/>
    </w:rPr>
  </w:style>
  <w:style w:type="character" w:customStyle="1" w:styleId="NoSpacingChar">
    <w:name w:val="No Spacing Char"/>
    <w:basedOn w:val="DefaultParagraphFont"/>
    <w:link w:val="NoSpacing"/>
    <w:uiPriority w:val="1"/>
    <w:rsid w:val="00395865"/>
  </w:style>
  <w:style w:type="paragraph" w:styleId="NormalWeb">
    <w:name w:val="Normal (Web)"/>
    <w:basedOn w:val="Normal"/>
    <w:uiPriority w:val="99"/>
    <w:unhideWhenUsed/>
    <w:rsid w:val="00E46390"/>
    <w:pPr>
      <w:spacing w:before="100" w:beforeAutospacing="1" w:after="100" w:afterAutospacing="1" w:line="240" w:lineRule="auto"/>
    </w:pPr>
    <w:rPr>
      <w:rFonts w:ascii="Times New Roman" w:eastAsia="Calibri"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3C99E-A163-4424-B394-754909A5E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Southeast Bank Limited</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firoz</dc:creator>
  <cp:keywords/>
  <dc:description/>
  <cp:lastModifiedBy>S. M. Ishtyak Tanvir Ahmed (Card Division)</cp:lastModifiedBy>
  <cp:revision>7</cp:revision>
  <cp:lastPrinted>2020-08-25T08:19:00Z</cp:lastPrinted>
  <dcterms:created xsi:type="dcterms:W3CDTF">2016-08-28T08:43:00Z</dcterms:created>
  <dcterms:modified xsi:type="dcterms:W3CDTF">2020-08-25T08:19:00Z</dcterms:modified>
</cp:coreProperties>
</file>